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crt-20260630.htm"/>
      <w:bookmarkStart w:id="1" w:name="kstcrt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001-33038</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Alaunos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6975" w:type="dxa"/>
        <w:jc w:val="left"/>
        <w:tblInd w:w="0" w:type="dxa"/>
        <w:tblLayout w:type="fixed"/>
        <w:tblCellMar>
          <w:top w:w="28" w:type="dxa"/>
          <w:left w:w="28" w:type="dxa"/>
          <w:bottom w:w="28" w:type="dxa"/>
          <w:right w:w="28" w:type="dxa"/>
        </w:tblCellMar>
      </w:tblPr>
      <w:tblGrid>
        <w:gridCol w:w="4282"/>
        <w:gridCol w:w="2693"/>
      </w:tblGrid>
      <w:tr>
        <w:trPr/>
        <w:tc>
          <w:tcPr>
            <w:tcW w:w="4282"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r>
      <w:tr>
        <w:trPr/>
        <w:tc>
          <w:tcPr>
            <w:tcW w:w="42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84-1475642</w:t>
            </w:r>
          </w:p>
        </w:tc>
      </w:tr>
      <w:tr>
        <w:trPr/>
        <w:tc>
          <w:tcPr>
            <w:tcW w:w="428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2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6975" w:type="dxa"/>
            <w:gridSpan w:val="2"/>
            <w:tcBorders/>
            <w:tcMar>
              <w:top w:w="0" w:type="dxa"/>
              <w:left w:w="0" w:type="dxa"/>
              <w:bottom w:w="0" w:type="dxa"/>
              <w:right w:w="0" w:type="dxa"/>
            </w:tcMar>
            <w:vAlign w:val="center"/>
          </w:tcPr>
          <w:p>
            <w:pPr>
              <w:pStyle w:val="TableContents"/>
              <w:bidi w:val="0"/>
              <w:spacing w:before="60" w:after="15"/>
              <w:jc w:val="center"/>
              <w:rPr>
                <w:rFonts w:ascii="Times New Roman" w:hAnsi="Times New Roman"/>
                <w:b/>
                <w:color w:val="000000"/>
                <w:sz w:val="20"/>
              </w:rPr>
            </w:pPr>
            <w:r>
              <w:rPr>
                <w:rFonts w:ascii="Times New Roman" w:hAnsi="Times New Roman"/>
                <w:b/>
                <w:color w:val="000000"/>
                <w:sz w:val="20"/>
              </w:rPr>
              <w:t>501 E. Las Olas Blvd., Suite 300</w:t>
            </w:r>
          </w:p>
          <w:p>
            <w:pPr>
              <w:pStyle w:val="TableContents"/>
              <w:bidi w:val="0"/>
              <w:spacing w:before="0" w:after="15"/>
              <w:jc w:val="center"/>
              <w:rPr>
                <w:rFonts w:ascii="Times New Roman" w:hAnsi="Times New Roman"/>
                <w:sz w:val="20"/>
              </w:rPr>
            </w:pPr>
            <w:r>
              <w:rPr>
                <w:rFonts w:ascii="Times New Roman" w:hAnsi="Times New Roman"/>
                <w:b/>
                <w:color w:val="000000"/>
                <w:sz w:val="20"/>
              </w:rPr>
              <w:t>Fort Lauderdale, FL</w:t>
            </w:r>
            <w:r>
              <w:rPr>
                <w:rFonts w:ascii="Times New Roman" w:hAnsi="Times New Roman"/>
                <w:color w:val="000000"/>
                <w:sz w:val="20"/>
              </w:rPr>
              <w:t xml:space="preserve"> </w:t>
            </w:r>
            <w:r>
              <w:rPr>
                <w:rFonts w:ascii="Times New Roman" w:hAnsi="Times New Roman"/>
                <w:b/>
                <w:color w:val="000000"/>
                <w:sz w:val="20"/>
              </w:rPr>
              <w:t>33301</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(346) 355-4099</w:t>
            </w:r>
          </w:p>
          <w:p>
            <w:pPr>
              <w:pStyle w:val="TableContents"/>
              <w:bidi w:val="0"/>
              <w:jc w:val="center"/>
              <w:rPr>
                <w:rFonts w:ascii="Times New Roman" w:hAnsi="Times New Roman"/>
                <w:b/>
                <w:color w:val="000000"/>
                <w:sz w:val="14"/>
              </w:rPr>
            </w:pPr>
            <w:r>
              <w:rPr>
                <w:rFonts w:ascii="Times New Roman" w:hAnsi="Times New Roman"/>
                <w:b/>
                <w:color w:val="000000"/>
                <w:sz w:val="14"/>
              </w:rPr>
              <w:t>(Address, including zip code, and telephone number, including area code, of registrant's principal executive offices)</w:t>
            </w:r>
          </w:p>
          <w:p>
            <w:pPr>
              <w:pStyle w:val="TableContents"/>
              <w:bidi w:val="0"/>
              <w:spacing w:before="0" w:after="283"/>
              <w:jc w:val="center"/>
              <w:rPr/>
            </w:pPr>
            <w:r>
              <w:rPr/>
              <w:t> </w:t>
            </w:r>
          </w:p>
        </w:tc>
      </w:tr>
    </w:tbl>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5830" w:type="dxa"/>
        <w:jc w:val="left"/>
        <w:tblInd w:w="0" w:type="dxa"/>
        <w:tblLayout w:type="fixed"/>
        <w:tblCellMar>
          <w:top w:w="28" w:type="dxa"/>
          <w:left w:w="28" w:type="dxa"/>
          <w:bottom w:w="28" w:type="dxa"/>
          <w:right w:w="28" w:type="dxa"/>
        </w:tblCellMar>
      </w:tblPr>
      <w:tblGrid>
        <w:gridCol w:w="1396"/>
        <w:gridCol w:w="146"/>
        <w:gridCol w:w="826"/>
        <w:gridCol w:w="146"/>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TCRT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17" w:type="dxa"/>
        <w:jc w:val="left"/>
        <w:tblInd w:w="0" w:type="dxa"/>
        <w:tblLayout w:type="fixed"/>
        <w:tblCellMar>
          <w:top w:w="28" w:type="dxa"/>
          <w:left w:w="28" w:type="dxa"/>
          <w:bottom w:w="28" w:type="dxa"/>
          <w:right w:w="28" w:type="dxa"/>
        </w:tblCellMar>
      </w:tblPr>
      <w:tblGrid>
        <w:gridCol w:w="1771"/>
        <w:gridCol w:w="146"/>
        <w:gridCol w:w="316"/>
        <w:gridCol w:w="146"/>
        <w:gridCol w:w="2131"/>
        <w:gridCol w:w="146"/>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14, 2026 the number of outstanding shares of the registrant's common stock, $0.001 par value, was</w:t>
      </w:r>
      <w:r>
        <w:rPr>
          <w:rFonts w:ascii="Times New Roman" w:hAnsi="Times New Roman"/>
          <w:color w:val="000000"/>
          <w:sz w:val="20"/>
        </w:rPr>
        <w:t xml:space="preserve"> </w:t>
      </w:r>
      <w:r>
        <w:rPr>
          <w:rFonts w:ascii="Times New Roman" w:hAnsi="Times New Roman"/>
          <w:color w:val="000000"/>
          <w:sz w:val="18"/>
        </w:rPr>
        <w:t>2,540,480</w:t>
      </w:r>
      <w:r>
        <w:rPr>
          <w:rFonts w:ascii="Times New Roman" w:hAnsi="Times New Roman"/>
          <w:color w:val="000000"/>
          <w:sz w:val="20"/>
        </w:rPr>
        <w:t xml:space="preserve"> </w:t>
      </w:r>
      <w:r>
        <w:rPr>
          <w:rFonts w:ascii="Times New Roman" w:hAnsi="Times New Roman"/>
          <w:color w:val="000000"/>
          <w:sz w:val="18"/>
        </w:rPr>
        <w:t>shares.</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Quarterly Report on Form 10-Q, or Quarterly Report, contains forward-looking statements as defined in the Private Securities Litigation Reform Act of 1995, as amended. Forward-looking statements are all statements contained in this Quarterly Report that are not historical fact, and in some cases can be identified by terms such as: “anticipate,” “believe,” “estimate,” “expect,” “forecast,” “intend,” “may,” “plan,” “project,” “target,” "potential," “will” and other words and terms of similar meaning.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statements are based on management’s current beliefs and assumptions and on information currently available to management. These statements involve risks, uncertainties and other factors that may cause actual results, levels of activity, performance or achievements to be materially different from the information expressed or implied by these forward-looking statements. Although we believe that the expectations reflected in such forward-looking statements are reasonable, we caution you that these statements are based on a combination of facts and factors currently known by us and our projections of the future, about which we cannot be certain. Forward-looking statements in this Quarterly Report include, but are not limited to, statements about: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substantial additional capital to continue as a going concern and fund our planned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advance our preclinical Obesity and Metabolic Disorders Program, including ALN1003, through additional studies, formulation optimization, and manufacturing scale-up for progressing toward IND-enabling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enter into partnerships, collaborations or licensing arrangements to support development of our Obesity and Metabolic Disorders Program;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estimates regarding our expenses, use of cash, cash runway, timing of future cash needs and anticipated capital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license additional intellectual property to support our Obesity and Metabolic Disorders Program or out-license our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legacy TCR-T assets and limited ongoing efforts to monetize remaining intellectual property and to comply with our existing license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 of developments and projections relating to competition from other pharmaceutical and biotechnology companies or our industry;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plans relating to conducting future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testing, </w:t>
      </w:r>
      <w:r>
        <w:rPr>
          <w:rFonts w:ascii="Times New Roman" w:hAnsi="Times New Roman"/>
          <w:i/>
          <w:color w:val="000000"/>
          <w:sz w:val="20"/>
        </w:rPr>
        <w:t>in vivo</w:t>
      </w:r>
      <w:r>
        <w:rPr>
          <w:color w:val="000000"/>
        </w:rPr>
        <w:t xml:space="preserve"> </w:t>
      </w:r>
      <w:r>
        <w:rPr>
          <w:rFonts w:ascii="Times New Roman" w:hAnsi="Times New Roman"/>
          <w:color w:val="000000"/>
          <w:sz w:val="20"/>
        </w:rPr>
        <w:t>studies, and non-clinical and investigational new drug or IND-enabling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anticipated amount, timing and accounting of contract liabilities, milestones and other payments under licensing, collaboration or acquisition agreements, research and development costs and other expenses;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remain listed on the Nasdaq Capital Market, including compliance with the stockholders’ equity continued listing requirement (minimum $2.5 million), and the minimum bid price requirement ($1.00), and the potential consequences of any delisting;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intellectual property position, including the strength and enforceability of our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forward-looking statements in this Quarterly Report on Form 10-Q reflect our current views with respect to future events or to our future financial performance and involve known and unknown risks, uncertainties and other factors that may cause our actual results, level of activity, performance or achievements to be materially different from any future results, level of activity, performance or achievements expressed or implied by these forward-looking statements. Factors that may cause actual results, levels of activity or performance of achievements to differ materially from current expectations include, among other things, those described in our Annual Report on Form 10-K under Part 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the context requires otherwise, references in this Quarterly Report to “Alaunos,” the “Company,” “we,” “us” or “our” refer to Alaunos Therapeutics,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own or have rights to trademarks, service marks and trade names that we use in connection with the operation of our business, including our corporate name, logos and website names. We own the Alaunos® and hunTR® trademarks as well as the graphic trademark found on our website.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SUMMARY OF SELECTED RISKS ASSOCIATED WITH OUR BUSINESS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faces significant risks and uncertainties. If any of the following risks are realized, our business, financial condition, results of operations, cash flows and prospects could be materially and adversely affected. You should carefully review and consider the full discussion of our risk factors in the section titled “Risk Factors” in Part I, Item 1A of our Annual Report, filed with the SEC on March 31, 2026 and as amended by Amendment No. 1 filed with the SEC on April 30, 2026. Some of the more significant risks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require substantial additional financial resources to continue as a going concern and advance our Obesity and Metabolic Disorders Program; the failure to obtain it on acceptable terms would materially harm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strategic reprioritization to progress our Obesity and Metabolic Disorders Program may not be successful, may not yield the desired results and we may be unsuccessful in identifying and implementing any alternate strategic transaction.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resources are limited. As of June 30, 2026, we had approximately $0.12 million of cash and cash equivalents. At our current rate of spending, we expect our cash to be sufficient to fund operations only into the third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remain listed on the Nasdaq Capital Market, including compliance with the minimum stockholders’ equity requirement of $2.5 million and the minimum bid price requirement of $1.00 per share; the potential implementation and effect of Nasdaq’s new $5.0 million minimum Market Value of Listed Securities continued listing requirement, which is currently stayed pending SEC review; and the timing, application and potential suspension or delisting consequences of any future effectiveness of that requirement.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progress our Obesity and Metabolic Disorders Program, 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stock price has been, and may continue to be, volatile.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identified a material weakness and failed to maintain an effective internal control environment, which may result in material misstatements of our financial statements or have a material adverse effect on our business or stock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small molecule Obesity and Metabolic Disorders Program is in an early preclinical stage and faces significant risks and requires substantial additional capital. We may never be able to commercialize any product candidate, generate significant revenues, or attain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small molecule product candidate faces intense competition which may in the future include from generics or biosimilars and/or new technologies and our pending patent applications may not be granted, further limiting our ability to compete.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7"/>
        <w:gridCol w:w="8856"/>
        <w:gridCol w:w="512"/>
      </w:tblGrid>
      <w:tr>
        <w:trPr/>
        <w:tc>
          <w:tcPr>
            <w:tcW w:w="837" w:type="dxa"/>
            <w:tcBorders/>
            <w:vAlign w:val="center"/>
          </w:tcPr>
          <w:p>
            <w:pPr>
              <w:pStyle w:val="TableContents"/>
              <w:bidi w:val="0"/>
              <w:spacing w:before="0" w:after="283"/>
              <w:jc w:val="left"/>
              <w:rPr>
                <w:sz w:val="4"/>
                <w:szCs w:val="4"/>
              </w:rPr>
            </w:pPr>
            <w:r>
              <w:rPr>
                <w:sz w:val="4"/>
                <w:szCs w:val="4"/>
              </w:rPr>
            </w:r>
          </w:p>
        </w:tc>
        <w:tc>
          <w:tcPr>
            <w:tcW w:w="885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
              <w:r>
                <w:rPr>
                  <w:rStyle w:val="InternetLink"/>
                  <w:rFonts w:ascii="Times New Roman" w:hAnsi="Times New Roman"/>
                  <w:color w:val="0000FF"/>
                  <w:sz w:val="20"/>
                  <w:u w:val="single"/>
                </w:rPr>
                <w:t>Condensed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
              <w:r>
                <w:rPr>
                  <w:rStyle w:val="InternetLink"/>
                  <w:rFonts w:ascii="Times New Roman" w:hAnsi="Times New Roman"/>
                  <w:color w:val="0000FF"/>
                  <w:sz w:val="20"/>
                  <w:u w:val="single"/>
                </w:rPr>
                <w:t>Condensed Balance Sheets as of June 30, 2026 and December 31, 2025 (unaudited)</w:t>
              </w:r>
            </w:hyperlink>
            <w:hyperlink w:anchor="balance_sheet_">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_">
              <w:r>
                <w:rPr>
                  <w:rStyle w:val="InternetLink"/>
                  <w:rFonts w:ascii="Times New Roman" w:hAnsi="Times New Roman"/>
                  <w:color w:val="0000FF"/>
                  <w:sz w:val="20"/>
                  <w:u w:val="single"/>
                </w:rPr>
                <w:t>Condensed Statements of Operations for the three and six months ended June 30,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_">
              <w:r>
                <w:rPr>
                  <w:rStyle w:val="InternetLink"/>
                  <w:rFonts w:ascii="Times New Roman" w:hAnsi="Times New Roman"/>
                  <w:color w:val="0000FF"/>
                  <w:sz w:val="20"/>
                  <w:u w:val="single"/>
                </w:rPr>
                <w:t>Condensed Statements of Changes in Stockholders’ Equity for the three and six months ended June 30,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flow_">
              <w:r>
                <w:rPr>
                  <w:rStyle w:val="InternetLink"/>
                  <w:rFonts w:ascii="Times New Roman" w:hAnsi="Times New Roman"/>
                  <w:color w:val="0000FF"/>
                  <w:sz w:val="20"/>
                  <w:u w:val="single"/>
                </w:rPr>
                <w:t>Condensed Statements of Cash Flows for the six months ended June 30,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
              <w:r>
                <w:rPr>
                  <w:rStyle w:val="InternetLink"/>
                  <w:rFonts w:ascii="Times New Roman" w:hAnsi="Times New Roman"/>
                  <w:color w:val="0000FF"/>
                  <w:sz w:val="20"/>
                  <w:u w:val="single"/>
                </w:rPr>
                <w:t>Notes to Condensed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_">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_">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_">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_">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_">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_">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w:t>
      </w:r>
    </w:p>
    <w:p>
      <w:pPr>
        <w:pStyle w:val="TextBody"/>
        <w:bidi w:val="0"/>
        <w:spacing w:before="360" w:after="283"/>
        <w:jc w:val="left"/>
        <w:rPr>
          <w:rFonts w:ascii="Times New Roman" w:hAnsi="Times New Roman"/>
          <w:sz w:val="20"/>
        </w:rPr>
      </w:pPr>
      <w:bookmarkStart w:id="2" w:name="item_1_"/>
      <w:bookmarkEnd w:id="2"/>
      <w:r>
        <w:rPr>
          <w:rFonts w:ascii="Times New Roman" w:hAnsi="Times New Roman"/>
          <w:b/>
          <w:i/>
          <w:color w:val="000000"/>
          <w:sz w:val="20"/>
        </w:rPr>
        <w:t>Item 1. Condensed Financial Statements</w:t>
      </w:r>
      <w:r>
        <w:rPr>
          <w:rFonts w:ascii="Times New Roman" w:hAnsi="Times New Roman"/>
          <w:color w:val="000000"/>
          <w:sz w:val="20"/>
        </w:rPr>
        <w:t xml:space="preserve"> </w:t>
      </w:r>
      <w:r>
        <w:rPr>
          <w:rFonts w:ascii="Times New Roman" w:hAnsi="Times New Roman"/>
          <w:b/>
          <w:i/>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08" w:after="283"/>
        <w:jc w:val="center"/>
        <w:rPr>
          <w:rFonts w:ascii="Times New Roman" w:hAnsi="Times New Roman"/>
          <w:b/>
          <w:color w:val="000000"/>
          <w:sz w:val="20"/>
        </w:rPr>
      </w:pPr>
      <w:bookmarkStart w:id="3" w:name="balance_sheet_"/>
      <w:bookmarkEnd w:id="3"/>
      <w:r>
        <w:rPr>
          <w:rFonts w:ascii="Times New Roman" w:hAnsi="Times New Roman"/>
          <w:b/>
          <w:color w:val="000000"/>
          <w:sz w:val="20"/>
        </w:rPr>
        <w:t>CONDENSED BALANCE SHEETS</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6"/>
        <w:gridCol w:w="146"/>
        <w:gridCol w:w="211"/>
        <w:gridCol w:w="841"/>
        <w:gridCol w:w="166"/>
        <w:gridCol w:w="146"/>
        <w:gridCol w:w="213"/>
        <w:gridCol w:w="853"/>
        <w:gridCol w:w="1193"/>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 non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A-1 preferred stock $0.001 par value; 1,000 shares authorized, 500 shares issued and outstanding at June 30, 2026 and at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A-2 preferred stock $0.001 par value; 1,000 shares authorized, 850 shares issued and outstanding at June 30, 2026 and at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50,000,000 shares authorized, 2,486,140 and 2,349,480 shares issued and outstanding at June 30, 2026 and at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926,773</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(924,622</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08" w:after="283"/>
        <w:jc w:val="center"/>
        <w:rPr>
          <w:rFonts w:ascii="Times New Roman" w:hAnsi="Times New Roman"/>
          <w:b/>
          <w:color w:val="000000"/>
          <w:sz w:val="20"/>
        </w:rPr>
      </w:pPr>
      <w:bookmarkStart w:id="4" w:name="statements_of_operation_"/>
      <w:bookmarkEnd w:id="4"/>
      <w:r>
        <w:rPr>
          <w:rFonts w:ascii="Times New Roman" w:hAnsi="Times New Roman"/>
          <w:b/>
          <w:color w:val="000000"/>
          <w:sz w:val="20"/>
        </w:rPr>
        <w:t>CONDENSED STATEMENTS OF OPERATIONS</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2"/>
        <w:gridCol w:w="746"/>
        <w:gridCol w:w="218"/>
        <w:gridCol w:w="964"/>
        <w:gridCol w:w="171"/>
        <w:gridCol w:w="151"/>
        <w:gridCol w:w="218"/>
        <w:gridCol w:w="964"/>
        <w:gridCol w:w="166"/>
        <w:gridCol w:w="146"/>
        <w:gridCol w:w="212"/>
        <w:gridCol w:w="938"/>
        <w:gridCol w:w="167"/>
        <w:gridCol w:w="147"/>
        <w:gridCol w:w="212"/>
        <w:gridCol w:w="938"/>
        <w:gridCol w:w="815"/>
      </w:tblGrid>
      <w:tr>
        <w:trPr/>
        <w:tc>
          <w:tcPr>
            <w:tcW w:w="303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 in fair value of warrant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0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income (expense),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2,431,695</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2,397,404</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1,639,123</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08" w:after="283"/>
        <w:jc w:val="center"/>
        <w:rPr>
          <w:rFonts w:ascii="Times New Roman" w:hAnsi="Times New Roman"/>
          <w:b/>
          <w:color w:val="000000"/>
          <w:sz w:val="20"/>
        </w:rPr>
      </w:pPr>
      <w:bookmarkStart w:id="5" w:name="stockholders_equity_"/>
      <w:bookmarkEnd w:id="5"/>
      <w:r>
        <w:rPr>
          <w:rFonts w:ascii="Times New Roman" w:hAnsi="Times New Roman"/>
          <w:b/>
          <w:color w:val="000000"/>
          <w:sz w:val="20"/>
        </w:rPr>
        <w:t>CONDENSED STATEMENTS OF CHANGES IN STOCKHOLDERS’ EQUITY</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For the Three Months Ended June 30, 2026</w:t>
      </w:r>
    </w:p>
    <w:p>
      <w:pPr>
        <w:pStyle w:val="TextBody"/>
        <w:bidi w:val="0"/>
        <w:jc w:val="center"/>
        <w:rPr/>
      </w:pPr>
      <w:r>
        <w:rPr/>
        <w:t> </w:t>
      </w:r>
    </w:p>
    <w:tbl>
      <w:tblPr>
        <w:tblW w:w="11421" w:type="dxa"/>
        <w:jc w:val="left"/>
        <w:tblInd w:w="0" w:type="dxa"/>
        <w:tblLayout w:type="fixed"/>
        <w:tblCellMar>
          <w:top w:w="28" w:type="dxa"/>
          <w:left w:w="28" w:type="dxa"/>
          <w:bottom w:w="28" w:type="dxa"/>
          <w:right w:w="28" w:type="dxa"/>
        </w:tblCellMar>
      </w:tblPr>
      <w:tblGrid>
        <w:gridCol w:w="1261"/>
        <w:gridCol w:w="146"/>
        <w:gridCol w:w="146"/>
        <w:gridCol w:w="931"/>
        <w:gridCol w:w="146"/>
        <w:gridCol w:w="146"/>
        <w:gridCol w:w="261"/>
        <w:gridCol w:w="430"/>
        <w:gridCol w:w="146"/>
        <w:gridCol w:w="146"/>
        <w:gridCol w:w="165"/>
        <w:gridCol w:w="421"/>
        <w:gridCol w:w="146"/>
        <w:gridCol w:w="146"/>
        <w:gridCol w:w="304"/>
        <w:gridCol w:w="387"/>
        <w:gridCol w:w="146"/>
        <w:gridCol w:w="146"/>
        <w:gridCol w:w="165"/>
        <w:gridCol w:w="421"/>
        <w:gridCol w:w="146"/>
        <w:gridCol w:w="146"/>
        <w:gridCol w:w="304"/>
        <w:gridCol w:w="387"/>
        <w:gridCol w:w="146"/>
        <w:gridCol w:w="146"/>
        <w:gridCol w:w="211"/>
        <w:gridCol w:w="781"/>
        <w:gridCol w:w="146"/>
        <w:gridCol w:w="146"/>
        <w:gridCol w:w="211"/>
        <w:gridCol w:w="841"/>
        <w:gridCol w:w="166"/>
        <w:gridCol w:w="146"/>
        <w:gridCol w:w="291"/>
        <w:gridCol w:w="790"/>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A-1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A-2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as consideration for board service fees, consulting services and salary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line of credit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For the Six Months Ended June 30, 2026</w:t>
      </w:r>
    </w:p>
    <w:p>
      <w:pPr>
        <w:pStyle w:val="TextBody"/>
        <w:bidi w:val="0"/>
        <w:jc w:val="center"/>
        <w:rPr/>
      </w:pPr>
      <w:r>
        <w:rPr/>
        <w:t> </w:t>
      </w:r>
    </w:p>
    <w:tbl>
      <w:tblPr>
        <w:tblW w:w="11421" w:type="dxa"/>
        <w:jc w:val="left"/>
        <w:tblInd w:w="0" w:type="dxa"/>
        <w:tblLayout w:type="fixed"/>
        <w:tblCellMar>
          <w:top w:w="28" w:type="dxa"/>
          <w:left w:w="28" w:type="dxa"/>
          <w:bottom w:w="28" w:type="dxa"/>
          <w:right w:w="28" w:type="dxa"/>
        </w:tblCellMar>
      </w:tblPr>
      <w:tblGrid>
        <w:gridCol w:w="1261"/>
        <w:gridCol w:w="146"/>
        <w:gridCol w:w="146"/>
        <w:gridCol w:w="931"/>
        <w:gridCol w:w="146"/>
        <w:gridCol w:w="146"/>
        <w:gridCol w:w="261"/>
        <w:gridCol w:w="430"/>
        <w:gridCol w:w="146"/>
        <w:gridCol w:w="146"/>
        <w:gridCol w:w="165"/>
        <w:gridCol w:w="421"/>
        <w:gridCol w:w="146"/>
        <w:gridCol w:w="146"/>
        <w:gridCol w:w="304"/>
        <w:gridCol w:w="387"/>
        <w:gridCol w:w="146"/>
        <w:gridCol w:w="146"/>
        <w:gridCol w:w="165"/>
        <w:gridCol w:w="421"/>
        <w:gridCol w:w="146"/>
        <w:gridCol w:w="146"/>
        <w:gridCol w:w="304"/>
        <w:gridCol w:w="387"/>
        <w:gridCol w:w="146"/>
        <w:gridCol w:w="146"/>
        <w:gridCol w:w="211"/>
        <w:gridCol w:w="781"/>
        <w:gridCol w:w="146"/>
        <w:gridCol w:w="146"/>
        <w:gridCol w:w="211"/>
        <w:gridCol w:w="841"/>
        <w:gridCol w:w="166"/>
        <w:gridCol w:w="146"/>
        <w:gridCol w:w="270"/>
        <w:gridCol w:w="81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A-1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A-2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as consideration for board service fees,consilting services and salary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line of credit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CONDENSED STATEMENTS OF CHANGES IN STOCKHOLDERS’ EQUITY</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For the Three Months Ended June 30, 2025</w:t>
      </w:r>
    </w:p>
    <w:p>
      <w:pPr>
        <w:pStyle w:val="TextBody"/>
        <w:bidi w:val="0"/>
        <w:jc w:val="center"/>
        <w:rPr/>
      </w:pPr>
      <w:r>
        <w:rPr/>
        <w:t> </w:t>
      </w:r>
    </w:p>
    <w:tbl>
      <w:tblPr>
        <w:tblW w:w="11135" w:type="dxa"/>
        <w:jc w:val="left"/>
        <w:tblInd w:w="0" w:type="dxa"/>
        <w:tblLayout w:type="fixed"/>
        <w:tblCellMar>
          <w:top w:w="28" w:type="dxa"/>
          <w:left w:w="28" w:type="dxa"/>
          <w:bottom w:w="28" w:type="dxa"/>
          <w:right w:w="28" w:type="dxa"/>
        </w:tblCellMar>
      </w:tblPr>
      <w:tblGrid>
        <w:gridCol w:w="1186"/>
        <w:gridCol w:w="146"/>
        <w:gridCol w:w="146"/>
        <w:gridCol w:w="826"/>
        <w:gridCol w:w="146"/>
        <w:gridCol w:w="146"/>
        <w:gridCol w:w="249"/>
        <w:gridCol w:w="442"/>
        <w:gridCol w:w="146"/>
        <w:gridCol w:w="146"/>
        <w:gridCol w:w="210"/>
        <w:gridCol w:w="376"/>
        <w:gridCol w:w="146"/>
        <w:gridCol w:w="146"/>
        <w:gridCol w:w="295"/>
        <w:gridCol w:w="396"/>
        <w:gridCol w:w="146"/>
        <w:gridCol w:w="146"/>
        <w:gridCol w:w="210"/>
        <w:gridCol w:w="376"/>
        <w:gridCol w:w="146"/>
        <w:gridCol w:w="146"/>
        <w:gridCol w:w="295"/>
        <w:gridCol w:w="396"/>
        <w:gridCol w:w="146"/>
        <w:gridCol w:w="146"/>
        <w:gridCol w:w="196"/>
        <w:gridCol w:w="691"/>
        <w:gridCol w:w="146"/>
        <w:gridCol w:w="146"/>
        <w:gridCol w:w="217"/>
        <w:gridCol w:w="834"/>
        <w:gridCol w:w="166"/>
        <w:gridCol w:w="146"/>
        <w:gridCol w:w="276"/>
        <w:gridCol w:w="805"/>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A-1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A-2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as consideration for board 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registered direct offering, net of offering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prefunded warrants in registered direct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Warrant Liability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For the Six Months Ended June 30, 2025</w:t>
      </w:r>
    </w:p>
    <w:p>
      <w:pPr>
        <w:pStyle w:val="TextBody"/>
        <w:bidi w:val="0"/>
        <w:jc w:val="center"/>
        <w:rPr/>
      </w:pPr>
      <w:r>
        <w:rPr/>
        <w:t> </w:t>
      </w:r>
    </w:p>
    <w:tbl>
      <w:tblPr>
        <w:tblW w:w="11135" w:type="dxa"/>
        <w:jc w:val="left"/>
        <w:tblInd w:w="0" w:type="dxa"/>
        <w:tblLayout w:type="fixed"/>
        <w:tblCellMar>
          <w:top w:w="28" w:type="dxa"/>
          <w:left w:w="28" w:type="dxa"/>
          <w:bottom w:w="28" w:type="dxa"/>
          <w:right w:w="28" w:type="dxa"/>
        </w:tblCellMar>
      </w:tblPr>
      <w:tblGrid>
        <w:gridCol w:w="1186"/>
        <w:gridCol w:w="146"/>
        <w:gridCol w:w="146"/>
        <w:gridCol w:w="826"/>
        <w:gridCol w:w="146"/>
        <w:gridCol w:w="146"/>
        <w:gridCol w:w="249"/>
        <w:gridCol w:w="442"/>
        <w:gridCol w:w="146"/>
        <w:gridCol w:w="146"/>
        <w:gridCol w:w="210"/>
        <w:gridCol w:w="376"/>
        <w:gridCol w:w="146"/>
        <w:gridCol w:w="146"/>
        <w:gridCol w:w="295"/>
        <w:gridCol w:w="396"/>
        <w:gridCol w:w="146"/>
        <w:gridCol w:w="146"/>
        <w:gridCol w:w="210"/>
        <w:gridCol w:w="376"/>
        <w:gridCol w:w="146"/>
        <w:gridCol w:w="146"/>
        <w:gridCol w:w="295"/>
        <w:gridCol w:w="396"/>
        <w:gridCol w:w="146"/>
        <w:gridCol w:w="146"/>
        <w:gridCol w:w="196"/>
        <w:gridCol w:w="691"/>
        <w:gridCol w:w="146"/>
        <w:gridCol w:w="146"/>
        <w:gridCol w:w="217"/>
        <w:gridCol w:w="834"/>
        <w:gridCol w:w="166"/>
        <w:gridCol w:w="146"/>
        <w:gridCol w:w="276"/>
        <w:gridCol w:w="805"/>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A-1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A-2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as consideration for board 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registered direct offering, net of offering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prefunded warrants in registered direct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Warrant Liability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08" w:after="283"/>
        <w:jc w:val="center"/>
        <w:rPr>
          <w:rFonts w:ascii="Times New Roman" w:hAnsi="Times New Roman"/>
          <w:b/>
          <w:color w:val="000000"/>
          <w:sz w:val="20"/>
        </w:rPr>
      </w:pPr>
      <w:bookmarkStart w:id="6" w:name="cashflow_"/>
      <w:bookmarkEnd w:id="6"/>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5"/>
        <w:gridCol w:w="146"/>
        <w:gridCol w:w="267"/>
        <w:gridCol w:w="801"/>
        <w:gridCol w:w="210"/>
        <w:gridCol w:w="185"/>
        <w:gridCol w:w="267"/>
        <w:gridCol w:w="801"/>
        <w:gridCol w:w="993"/>
      </w:tblGrid>
      <w:tr>
        <w:trPr/>
        <w:tc>
          <w:tcPr>
            <w:tcW w:w="6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issued for consulting services rendered, including board fees and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2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9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 and pre funded warrants,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equity line of credit, net of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pPr>
      <w:bookmarkStart w:id="7" w:name="notes_"/>
      <w:bookmarkEnd w:id="7"/>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Alaunos Therapeutics, Inc., which is referred to herein as “Alaunos,” or the “Company,” is a pre-clinical stage obesity and metabolic disorders company with a current focus on developing oral small molecules for obesity and other metabolic disorders. The Company was historically involved in the development of adoptive TCR therapies, designed to treat multiple solid tumor types in large cancer patient populations with unmet clinical needs.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operations to date have consisted primarily of conducting research and development and raising capital to fund those efforts.</w:t>
      </w:r>
    </w:p>
    <w:p>
      <w:pPr>
        <w:pStyle w:val="TextBody"/>
        <w:bidi w:val="0"/>
        <w:spacing w:before="120" w:after="283"/>
        <w:jc w:val="both"/>
        <w:rPr>
          <w:rFonts w:ascii="Times New Roman" w:hAnsi="Times New Roman"/>
          <w:sz w:val="20"/>
        </w:rPr>
      </w:pPr>
      <w:r>
        <w:rPr>
          <w:rFonts w:ascii="Times New Roman" w:hAnsi="Times New Roman"/>
          <w:color w:val="000000"/>
          <w:sz w:val="20"/>
        </w:rPr>
        <w:t>As of June 30, 2026, there were 2,486,140</w:t>
      </w:r>
      <w:r>
        <w:rPr>
          <w:rFonts w:ascii="Times New Roman" w:hAnsi="Times New Roman"/>
          <w:color w:val="FF0000"/>
          <w:sz w:val="20"/>
        </w:rPr>
        <w:t xml:space="preserve"> </w:t>
      </w:r>
      <w:r>
        <w:rPr>
          <w:rFonts w:ascii="Times New Roman" w:hAnsi="Times New Roman"/>
          <w:color w:val="000000"/>
          <w:sz w:val="20"/>
        </w:rPr>
        <w:t xml:space="preserve">shares of common stock outstanding, 500 Series A-1 shares of preferred stock outstanding, 850 Series A-2 shares of preferred stock outstanding and an additional 327,098 shares of common stock reserved for issuance pursuant to outstanding stock options and warrants. The Company also has 601,774 shares available for issuance under its 2020 Equity Incentive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condensed financial statements have been prepared on a going concern basis, which contemplates the realization of assets and satisfaction of liabilities and commitments in the normal course of business.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operated at a loss since its inception in 2003 and has no recurring revenue from operations. The Company anticipates that losses will continue for the foreseeable future. As of June 30, 2026, the Company had approximately $0.12 million of cash and cash equivalents. The Company’s accumulated deficit at June 30, 2026 was approximately $926.6 million.  The Company’s ability to continue operations after its current cash resources are exhausted depends on future events including its ability to obtain additional financing or to achieve profitable results, as to which no assurances can be given. If adequate additional funds are not available when required, management may need to curtail its development efforts and planned operations to conserve cash until sufficient additional capital is raised. There can be no assurances that such a plan would be successful.</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the current cash forecast and the Company's dependence on its ability to obtain additional financing to fund its operations after the current resources are exhausted, about which there can be no certainty, management has determined that the Company's present capital resources will not be sufficient to fund its planned operations for at least one year from the issuance date of the financial statements which raises substantial doubt as to the Company's ability to continue as a going concern. This forecast of cash resources is forward-looking information that involves risks and uncertainties, and the actual amount of expenses could vary materially and adversely as a result of a number of factors. </w:t>
      </w:r>
    </w:p>
    <w:p>
      <w:pPr>
        <w:pStyle w:val="TextBody"/>
        <w:bidi w:val="0"/>
        <w:spacing w:before="240" w:after="283"/>
        <w:jc w:val="both"/>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interim condensed financial statements reflect all adjustments (which are normal and recurring) that are necessary for a fair presentation of the financial position of the Company and its results of operations and cash flows for the periods presented. The unaudited interim condensed financial statements should be read in conjunction with the audited financial statements and the notes thereto for the year ended December 31, 2025, included in the Company’s Annual Report on Form 10-K for the fiscal year ended December 31, 2025 filed with the SEC on March 31, 2026 and as amended by Amendment No. 1 filed with the SEC on April 30, 2026. (collectively, the “2025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disclosed in the condensed statements of operations for the three and six months ended June 30, 2026 are not necessarily indicative of the results to be expected for the full fiscal year 2026. </w:t>
      </w:r>
    </w:p>
    <w:p>
      <w:pPr>
        <w:pStyle w:val="TextBody"/>
        <w:bidi w:val="0"/>
        <w:spacing w:before="240" w:after="283"/>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financial statements in conformity with generally accepted accounting principles in the United States of America ("U.S. GAAP") requires management to make estimates and assumptions that affect the reported amounts of assets and liabilities and the disclosure of contingent assets and liabilities at the date of the condensed financial statements and the reported amounts of revenues and expenses during the reporting period. Although the Company regularly assesses these estimates, actual results could differ from those estimates. Changes in estimates are recorded in the period in which they become known.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rFonts w:ascii="Times New Roman" w:hAnsi="Times New Roman"/>
          <w:i/>
          <w:color w:val="000000"/>
          <w:sz w:val="20"/>
        </w:rPr>
      </w:pPr>
      <w:r>
        <w:rPr>
          <w:rFonts w:ascii="Times New Roman" w:hAnsi="Times New Roman"/>
          <w:i/>
          <w:color w:val="000000"/>
          <w:sz w:val="20"/>
        </w:rPr>
        <w:t>Nasdaq Stockholders' Equity Deficiency Notice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9, 2026, the Company received a notice (the “Notice”) from the Listing Qualifications staff of Nasdaq notifying the Company that the Company’s stockholders equity, as reported in its 2025 Annual Report, did not satisfy the continued listing requirements under Nasdaq Listing Rule 5550(b)(1) for the Nasdaq Capital Market, which requires that a listed company’s stockholder equity be at least $2.5 million. In its 2025 Form 10-K, the Company reported stockholders’ equity of $2.2 million, and, as a result, does not currently satisfy Nasdaq Listing Rule 5550(b)(1).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Notice had no immediate effect on the Company’s listing on the Nasdaq Capital Market. In accordance with Nasdaq rules, the Company had 45 calendar days from the date of the notification to submit a plan to regain compliance with Nasdaq Listing Rule 5550(b)(1). The Company has submitted its plan to regain compliance and is actively working with Nasdaq as it reviews and responds to the Company’s plan.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that the Company’s plan is not accepted, or that the plan is granted by the staff at Nasdaq but the Company is unable to regain compliance, the Company would have the right to request a hearing before an independent Nasdaq hearings panel. The request for a hearing would result in a stay of any suspension or delisting action pending the conclusion of the hearing process. See Part II, Item 1A. “Risk Factors” for additional information regarding risks associated with the Company’s continued listing on Nasdaq.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Nasdaq Minimum Market Value Requirement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22, 2026, the SEC’s Division of Trading and Markets, acting pursuant to delegated authority, approved a Nasdaq rule change that would require companies listed on the Nasdaq Capital Market to maintain a market value of listed securities (“MVLS”) of at least $5.0 million. Under the approved rule, a company whose MVLS remains below $5.0 million for 30 consecutive business days would be subject to an immediate staff delisting determination without an automatic compliance period. On July 29, 2026, following the filing of notices of intention to petition for review, the SEC automatically stayed the approval order pending further Commission action. As of the date these condensed financial statements were issued, the stay remained in effect. The Company cannot predict the timing or outcome of the SEC’s review, whether or when the rule will become operative, or the implementation and measurement procedures that may apply if the stay is lifted.</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of our accounting estimates are important to the portrayal of our financial condition, since they require management to make difficult, complex or subjective judgments, some of which may relate to matters that are inherently uncertain. Estimates are susceptible to material changes as a result of changes in facts and circumstances. Management believes that clinical trial expenses and other research and development expenses, collaboration agreements, fair value measurements of share based arrangements, and income taxes are its most critical accounting estimates. Our accounting policies are discussed in detail in Note 2 – Summary of Significant Accounting Policies in the audited financial statements included in the Company’s 2025 Annual Report. There have been no material changes in those policies since the filing of the 2025 Annual Report.</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earnings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earnings per share of common stock is computed by dividing net loss applicable to common stockholders by the weighted average number of shares of common stock outstanding for the period. Diluted earnings per share is computed using the weighted-average number of shares of common stock outstanding during the period, plus the dilutive effect of outstanding options and warrants, using the treasury stock method, unless the effect on net earnings per share is antidilutive. The following have been excluded from the calculation of dilutive earnings per share, as the effect was antidilutive: </w:t>
      </w:r>
    </w:p>
    <w:p>
      <w:pPr>
        <w:pStyle w:val="TextBody"/>
        <w:bidi w:val="0"/>
        <w:jc w:val="left"/>
        <w:rPr/>
      </w:pPr>
      <w:r>
        <w:rPr/>
        <w:t> </w:t>
      </w:r>
    </w:p>
    <w:tbl>
      <w:tblPr>
        <w:tblW w:w="4704" w:type="dxa"/>
        <w:jc w:val="left"/>
        <w:tblInd w:w="0" w:type="dxa"/>
        <w:tblLayout w:type="fixed"/>
        <w:tblCellMar>
          <w:top w:w="28" w:type="dxa"/>
          <w:left w:w="28" w:type="dxa"/>
          <w:bottom w:w="28" w:type="dxa"/>
          <w:right w:w="28" w:type="dxa"/>
        </w:tblCellMar>
      </w:tblPr>
      <w:tblGrid>
        <w:gridCol w:w="2221"/>
        <w:gridCol w:w="146"/>
        <w:gridCol w:w="146"/>
        <w:gridCol w:w="781"/>
        <w:gridCol w:w="146"/>
        <w:gridCol w:w="146"/>
        <w:gridCol w:w="146"/>
        <w:gridCol w:w="78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 the net loss attributable to common shareholders after including undeclared cumulative preferred dividends used to calculate the basic and diluted earnings per share, as shown on the statement of operations (See Note 5. Equity - Series A-1 and A-2 Preferred Stock Cumulative Dividends):</w:t>
      </w:r>
    </w:p>
    <w:tbl>
      <w:tblPr>
        <w:tblW w:w="10205" w:type="dxa"/>
        <w:jc w:val="left"/>
        <w:tblInd w:w="0" w:type="dxa"/>
        <w:tblLayout w:type="fixed"/>
        <w:tblCellMar>
          <w:top w:w="28" w:type="dxa"/>
          <w:left w:w="28" w:type="dxa"/>
          <w:bottom w:w="28" w:type="dxa"/>
          <w:right w:w="28" w:type="dxa"/>
        </w:tblCellMar>
      </w:tblPr>
      <w:tblGrid>
        <w:gridCol w:w="3606"/>
        <w:gridCol w:w="546"/>
        <w:gridCol w:w="299"/>
        <w:gridCol w:w="683"/>
        <w:gridCol w:w="235"/>
        <w:gridCol w:w="207"/>
        <w:gridCol w:w="299"/>
        <w:gridCol w:w="897"/>
        <w:gridCol w:w="166"/>
        <w:gridCol w:w="146"/>
        <w:gridCol w:w="264"/>
        <w:gridCol w:w="792"/>
        <w:gridCol w:w="207"/>
        <w:gridCol w:w="183"/>
        <w:gridCol w:w="264"/>
        <w:gridCol w:w="792"/>
        <w:gridCol w:w="619"/>
      </w:tblGrid>
      <w:tr>
        <w:trPr/>
        <w:tc>
          <w:tcPr>
            <w:tcW w:w="36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dividends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License Agreements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License Agreement and Research and Development Agreement —The University of Texas MD Anderson Cancer Center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2015, the Company, together with Precigen, entered into a license agreement, or the MD Anderson License with MD Anderson (which Precigen subsequently assigned to PGEN). Pursuant to the MD Anderson License, the Company, together with Precigen, holds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2015, the Company, Precigen and MD Anderson entered into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provided under the MD Anderson License, the Company provided funding for research and development activities in support of the research programs under the 2015 R&amp;D Agreement. At various times, the Company amended the 2015 R&amp;D Agreement to extend the term until December 31, 2026 and in 2019 entered into the 2019 R&amp;D Agreement, pursuant to which the Company agreed to collaborate with respect to the TCR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During the reporting period, the Company continued to engage with The University of Texas M.D. Anderson Cancer Center (“MD Anderson”) to wind down the TCR trials. The parties completed the final reconciliation of amounts due under the related R&amp;D agreements, and the Company received the final invoice during the second quarter of 2025. Amounts due to MD Anderson and recorded in accounts payable were $0 and $143 as of June 30, 2026 and December 31, 2025, respectively.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November 4, 2025, the Office of the Attorney General of Texas, on behalf of MD Anderson, issued a demand for payment. On December 17, 2025, the Company entered into a Settlement and Release Agreement with MD Anderson to resolve the matter. Pursuant to the agreement, the Company agreed to pay $285 in six installments through May 30, 2026, in full satisfaction of the outstanding invoices. The agreement also provides for mutual general releases, subject to customary exceptions, including for breach of the settlement agreement and certain ongoing matters such as Protocol 2006-0676.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of June 30, 2026, the Company had paid the aggregate settlement amount of $285, all required installments had been satisfied, and no amounts remained outstanding to MD Anderson under the settlement agreement.</w:t>
      </w:r>
    </w:p>
    <w:p>
      <w:pPr>
        <w:pStyle w:val="TextBody"/>
        <w:bidi w:val="0"/>
        <w:spacing w:before="80" w:after="283"/>
        <w:jc w:val="both"/>
        <w:rPr>
          <w:rFonts w:ascii="Times New Roman" w:hAnsi="Times New Roman"/>
          <w:i/>
          <w:color w:val="000000"/>
          <w:sz w:val="20"/>
        </w:rPr>
      </w:pPr>
      <w:r>
        <w:rPr>
          <w:rFonts w:ascii="Times New Roman" w:hAnsi="Times New Roman"/>
          <w:i/>
          <w:color w:val="000000"/>
          <w:sz w:val="20"/>
        </w:rPr>
        <w:t>Patent and Technology License Agreement—The University of Texas MD Anderson Cancer Center and the Texas A&amp;M University System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2004, the Company entered into a patent and technology license agreement with MD Anderson and the Texas A&amp;M University System, which the Company refers to, collectively, as the Licensors. Under this agreement, the Company was granted an exclusive, worldwide license to rights (including rights to U.S. and foreign patent and patent applications and related improvements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know-how) for the manufacture and commercialization of two classes of organic arsenicals (water- and lipid-based) for human and animal use. The class of water-based organic arsenicals includes darinaparsin.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terms of the agreement, the Company may be required to make payments to the Licensors upon achievement of certain milestones in varying amounts which, on a cumulative basis could total up to an additional $4.5 million. In addition, the Licensors are entitled to receive low single digit royalties on net sales from a licensed product and will also be entitled to receive a portion of any fees that the Company may receive from a possible sublicense under certain circumstances. During the three and six months ended June 30, 2026 and 2025, the Company did not incur any milestone expenses or royalty expenses under this agreement.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Collaboration Agreement with Solasia Pharma K.K.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2011, the Company entered into a License and Collaboration Agreement with Solasia Pharma K. K., or Solasia, which was amended in 2014 to include an exclusive worldwide license and further amended in 2021 to revise certain payment schedule details, or, as so amended, the Solasia License and Collaboration Agreement. Pursuant to the Solasia License and Collaboration Agreement, the Company granted Solasia an exclusive license to develop and commercialize darinaparsin in both intravenous and oral forms and related organic arsenic molecules, in all indications for human use.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consideration for the license, the Company is eligible to receive from Solasia development- and sales-based milestones, a royalty on net sales of darinaparsin, once commercialized, and a percentage of any sublicense revenue generated by Solasia.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the Company earned no collaboration revenue under this agreement. During the three and six months ended June 30, 2025, the Company earned collaboration revenue of $0 and $2, respectively under this agreement.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Insurance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2023, the Company entered into an insurance arrangement covering certain risks, for which the premium had been fully prepaid, with coverage effective over a six-year period. Accordingly, the Company began amortizing the prepaid expense related to the contract. The Company has classified the prepaid contract between its current portion and long term-portion. As of June 30, 2026, $222 is included in prepaid expenses and other current assets and $776 is included in prepaid expense and other non-current assets in the accompanying condensed consolidated balance sheet. </w:t>
      </w:r>
    </w:p>
    <w:p>
      <w:pPr>
        <w:pStyle w:val="TextBody"/>
        <w:bidi w:val="0"/>
        <w:spacing w:before="120" w:after="283"/>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Equity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Equity Incentive Plan and Share Registration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6, 2026, the Company registered an additional 1,000,000 shares of common stock for issuance under the Alaunos Therapeutics, Inc. 2020 Equity Incentive Plan by filing a Registration Statement on Form S-8. The increase in shares available for issuance under the plan from 130,745 shares to 1,130,745 shares was previously approved by the Company’s stockholders on July 3, 2025.</w:t>
      </w:r>
    </w:p>
    <w:p>
      <w:pPr>
        <w:pStyle w:val="TextBody"/>
        <w:bidi w:val="0"/>
        <w:jc w:val="both"/>
        <w:rPr>
          <w:rFonts w:ascii="Times New Roman" w:hAnsi="Times New Roman"/>
          <w:i/>
          <w:color w:val="000000"/>
          <w:sz w:val="20"/>
        </w:rPr>
      </w:pPr>
      <w:r>
        <w:rPr>
          <w:rFonts w:ascii="Times New Roman" w:hAnsi="Times New Roman"/>
          <w:i/>
          <w:color w:val="000000"/>
          <w:sz w:val="20"/>
        </w:rPr>
        <w:t>Shares issued for Services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issued an aggregate of 106,532 shares of its common stock, par value $0.001 per share, to members of the board of directors, an employee and consultants in lieu of cash consideration for services rendered. The aggregate fair value of the shares issued was approximately $273.</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Series A-1 and A-2 Preferred Stock Cumulative Dividends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Cumulative dividends on the Company’s Series A-1 and Series A-2 Convertible Preferred Stock accrue at 10% per annum and compound quarterly by increasing the liquidation preference. Undeclared cumulative dividends are not recorded as a liability. Because the Company reported a net loss for the periods presented, cumulative preferred dividends increased the net loss attributable to common stockholders in the earnings-per-share calculation. As of June 30, 2026, undeclared cumulative dividends totaled $64 for Series A-1 and $89 for Series A-2.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Equity Line of Credit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an equity purchase agreement with Mast Hill Fund, L.P. establishing an equity line of credit (the “Equity Line of Credit”), pursuant to which the Company has the right, but not the obligation, to sell up to $25.0 million of shares of its common stock over a period of up to 24 months, subject to certain conditions and limitations. The purchase price for shares sold under the Equity Line of Credit is generally based on 97% of the applicable volume-weighted average price of the Company’s common stock, subject to the terms, volume limitations, minimum pricing provisions and beneficial ownership limitations set forth in the underlying equity purchase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2026, the Company sold an aggregate of 30,598 shares of common stock under the Equity Line of Credit for gross proceeds of approximately $74. The Company incurred approximately $4 of transaction costs and fees associated with these sales, resulting in net cash proceeds of approximately $70. All sales under the Equity Line of Credit during the six months ended June 30, 2026 occurred during the three months ended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Transaction costs directly attributable to the issuance of the shares were recorded as a reduction of additional paid-in capital. In addition, a proportionate amount of previously deferred issuance costs associated with the Equity Line of Credit was recognized as a reduction of the proceeds from the shares issued under the facility.</w:t>
      </w:r>
    </w:p>
    <w:p>
      <w:pPr>
        <w:pStyle w:val="TextBody"/>
        <w:bidi w:val="0"/>
        <w:jc w:val="both"/>
        <w:rPr/>
      </w:pPr>
      <w:r>
        <w:rPr/>
        <w:t> </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share-based compensation expense on all employee and non-employee awards included in the accompanying condensed statements of operations as follows: </w:t>
      </w:r>
    </w:p>
    <w:p>
      <w:pPr>
        <w:pStyle w:val="TextBody"/>
        <w:bidi w:val="0"/>
        <w:jc w:val="both"/>
        <w:rPr/>
      </w:pPr>
      <w:r>
        <w:rPr/>
        <w:t> </w:t>
      </w:r>
    </w:p>
    <w:tbl>
      <w:tblPr>
        <w:tblW w:w="9006" w:type="dxa"/>
        <w:jc w:val="left"/>
        <w:tblInd w:w="0" w:type="dxa"/>
        <w:tblLayout w:type="fixed"/>
        <w:tblCellMar>
          <w:top w:w="28" w:type="dxa"/>
          <w:left w:w="28" w:type="dxa"/>
          <w:bottom w:w="28" w:type="dxa"/>
          <w:right w:w="28" w:type="dxa"/>
        </w:tblCellMar>
      </w:tblPr>
      <w:tblGrid>
        <w:gridCol w:w="3001"/>
        <w:gridCol w:w="386"/>
        <w:gridCol w:w="771"/>
        <w:gridCol w:w="267"/>
        <w:gridCol w:w="267"/>
        <w:gridCol w:w="386"/>
        <w:gridCol w:w="771"/>
        <w:gridCol w:w="166"/>
        <w:gridCol w:w="146"/>
        <w:gridCol w:w="360"/>
        <w:gridCol w:w="718"/>
        <w:gridCol w:w="249"/>
        <w:gridCol w:w="249"/>
        <w:gridCol w:w="360"/>
        <w:gridCol w:w="718"/>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grant date fair value of stock options was estimated on the date of grant using a Black-Scholes option valuation model with the following assumptions:</w:t>
      </w:r>
    </w:p>
    <w:p>
      <w:pPr>
        <w:pStyle w:val="TextBody"/>
        <w:bidi w:val="0"/>
        <w:jc w:val="both"/>
        <w:rPr/>
      </w:pPr>
      <w:r>
        <w:rPr/>
        <w:t> </w:t>
      </w:r>
    </w:p>
    <w:tbl>
      <w:tblPr>
        <w:tblW w:w="5532" w:type="dxa"/>
        <w:jc w:val="left"/>
        <w:tblInd w:w="0" w:type="dxa"/>
        <w:tblLayout w:type="fixed"/>
        <w:tblCellMar>
          <w:top w:w="28" w:type="dxa"/>
          <w:left w:w="28" w:type="dxa"/>
          <w:bottom w:w="28" w:type="dxa"/>
          <w:right w:w="28" w:type="dxa"/>
        </w:tblCellMar>
      </w:tblPr>
      <w:tblGrid>
        <w:gridCol w:w="2131"/>
        <w:gridCol w:w="146"/>
        <w:gridCol w:w="1094"/>
        <w:gridCol w:w="189"/>
        <w:gridCol w:w="1972"/>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and Six Months Ended June,</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4.05-4.15%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5.04-6.06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113.26-125.11%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
        </w:rPr>
      </w:pPr>
      <w:r>
        <w:rPr>
          <w:rFonts w:ascii="Times New Roman" w:hAnsi="Times New Roman"/>
          <w:color w:val="000000"/>
          <w:sz w:val="2"/>
        </w:rPr>
        <w:t>2.</w:t>
      </w:r>
    </w:p>
    <w:p>
      <w:pPr>
        <w:pStyle w:val="TextBody"/>
        <w:bidi w:val="0"/>
        <w:jc w:val="both"/>
        <w:rPr>
          <w:rFonts w:ascii="Times New Roman" w:hAnsi="Times New Roman"/>
          <w:color w:val="000000"/>
          <w:sz w:val="20"/>
        </w:rPr>
      </w:pPr>
      <w:r>
        <w:rPr>
          <w:rFonts w:ascii="Times New Roman" w:hAnsi="Times New Roman"/>
          <w:color w:val="000000"/>
          <w:sz w:val="20"/>
        </w:rPr>
        <w:t>Stock option activity under the Company’s stock option plans for the six months ended June 30, 2026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51"/>
        <w:gridCol w:w="146"/>
        <w:gridCol w:w="182"/>
        <w:gridCol w:w="976"/>
        <w:gridCol w:w="166"/>
        <w:gridCol w:w="146"/>
        <w:gridCol w:w="451"/>
        <w:gridCol w:w="1230"/>
        <w:gridCol w:w="146"/>
        <w:gridCol w:w="146"/>
        <w:gridCol w:w="518"/>
        <w:gridCol w:w="1658"/>
        <w:gridCol w:w="146"/>
        <w:gridCol w:w="146"/>
        <w:gridCol w:w="560"/>
        <w:gridCol w:w="842"/>
        <w:gridCol w:w="195"/>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Contractual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available for future grant,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June 30, 2026, total unrecognized compensation costs related to unvested stock options outstanding amounted to $323 and is expected to be recognized over a weighted-average period of 2 years.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Company's warrant activity for the six months ended June 30, 2026:</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919"/>
        <w:gridCol w:w="146"/>
        <w:gridCol w:w="204"/>
        <w:gridCol w:w="1093"/>
        <w:gridCol w:w="146"/>
        <w:gridCol w:w="146"/>
        <w:gridCol w:w="677"/>
        <w:gridCol w:w="1501"/>
        <w:gridCol w:w="146"/>
        <w:gridCol w:w="146"/>
        <w:gridCol w:w="687"/>
        <w:gridCol w:w="2200"/>
        <w:gridCol w:w="194"/>
      </w:tblGrid>
      <w:tr>
        <w:trPr/>
        <w:tc>
          <w:tcPr>
            <w:tcW w:w="2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Contractual Term (Years)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106,452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2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Chief Operating Decision Maker (“CODM”) for the Company is the Chief Executive Officer (the "CEO"). The Company’s CEO reviews operating results on an aggregate basis and manages the Company’s operations as a whole for the purpose of evaluating financial performance and allocating resources. This decision-making process reflects the way in which financial information is regularly reviewed and used by the CODM to evaluate performance, set operational targets, forecast future financial results, and allocate resources. Accordingly, the Company has determined that it has a single reportable and operating segment related to biopharmaceutical research and development.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Company’s CODM assesses financial performance and allocates resources based on operating results which are also reported on the accompanying condensed statements of operations. The measure of segment assets is reported on the balance sheet as total consolidated assets. The CODM utilizes consolidated operating results by comparing actual results against budgeted amounts. As part of this process, consolidated net loss is a critical performance measure used to evaluate the Company’s operating performance and guide strategic decisions and resource allocations, including additional investments in research and development. </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to June 30, 2026, the Company issued an aggregate of 54,340 shares of its common stock, par value $0.001 per share, to members of the Board of Directors, consultants and an employee in consideration for board service fees, services rendered and salary compensation, respectively, with an aggregate fair value of approximately $105.</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i/>
          <w:color w:val="000000"/>
          <w:sz w:val="20"/>
        </w:rPr>
      </w:pPr>
      <w:bookmarkStart w:id="8" w:name="item_2_"/>
      <w:bookmarkEnd w:id="8"/>
      <w:r>
        <w:rPr>
          <w:rFonts w:ascii="Times New Roman" w:hAnsi="Times New Roman"/>
          <w:b/>
          <w:i/>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financial statements and related notes included in this Quarterly Report on Form 10-Q and the audited financial information and related notes included in our Annual Report on Form 10-K, which was filed with the Securities and Exchange Commission, or the SEC, on March 31, 2026, as amended on April 30, 2026, or the Annual Report.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Except for the historical financial information contained herein, the matters discussed in this Quarterly Report on Form 10-Q may be deemed to contain forward-looking statements that reflect our plans, estimates and beliefs. We make such forward-looking statements pursuant to the safe harbor provisions of the Private Securities Litigation Reform Act of 1995 and other federal securities laws. In this Quarterly Report on Form 10-Q, words such as “may,” “expect,” “anticipate,” “estimate,” “intend,” “plan” and similar expressions (as well as other words or expressions referencing future events, conditions or circumstances) are intended to identify 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Our actual results could differ materially from those contained in or implied by any forward-looking statements. Factors that could cause or contribute to these differences include those risks identified under Part I, Item 1A. Risk Factors of our 2025 Annual Report.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product revenue and have incurred significant net losses in each year since our inception. For the six months ended June 30, 2026, we had a net loss of $1.9 million, and as of June 30, 2026, we have incurred approximately $926.6 million of accumulated deficit since our inception in 2003. We expect to continue to incur significant operating expenditures and net losses for the foreseeable future as we advance our internally developed preclinical small-molecule oral Obesity and Metabolic Disorders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advancing an internally developed, preclinical small molecule program for the treatment of obesity and related metabolic disorders. This program is focused on the discovery and development of novel, orally administered therapeutics with the potential to provide a differentiated and complementary profile relative to currently available therapies. While other pipeline therapies for obesity are exploring alternative hormonal pathways, including amylin and dual GIP/GLP-1 receptor agonism, the Company’s approach is focused on a non-hormonal mechanism of action. The program is intended to identify an oral therapeutic candidate that may address certain limitations associated with existing hormonal therapies, including improved tolerability.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second half of 2025, the Company conducted two separate non-GLP (Good Laboratory Practice) pharmacology studies using a standard diet-induced obesity (DIO) mouse model in male C57BL/6 mice maintained on a high-fat diet (60% of calories from fat). On January 8, 2026, the Company announced it had identified a lead compound for continued preclinical evaluation and had established proof-of-concept in the diet induced obesity (DIO) mouse model from these two studies, noting observations from the studies conducted were encouraging and consistent with statistically significant dose-related reductions in body weight, statistically significant improvements in body composition, specifically percentage fat and relative preservation of percentage lean, alongside favorable changes in metabolic parameters.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 2026, we announced additional details regarding this positive preclinical proof-of-concept data for ALN1003 from the two separate DIO studies conducted. Highlights from these studies include dose-dependent body weight loss with favorable body composition changes, reductions in liver weight, improvement in liver function biomarkers, and improvement in metabolic biomarkers. Collectively, these findings suggest encouraging metabolic effects of ALN1003 in the DIO model.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Recent preclinical data demonstrated that ALN1003 produced coordinated metabolic effects across multiple biological pathways relevant to metabolic syndrome, including insulin resistance, adipose tissue dysfunction, and liver steatosis, in non-GLP diet-induced obesity (DIO) mouse models. The findings support continued development of ALN1003 as a potential therapy for metabolic syndrome and related conditions, including obesity, metabolic dysfunction-associated steatotic liver disease (MASLD, a type of fatty liver disease) and insulin resistance.</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Metabolic syndrome is increasingly understood not as a collection of independent risk factors, but as a multi-organ, adiposity-associated disease state characterized by insulin resistance, dysfunctional adipose tissue, chronic low-grade inflammation, and hepatic lipid accumulation. Emerging research suggests that the biological quality and endocrine function of adipose tissue, rather than fat mass alone, plays a central role in disease progression. Within this framework, the preclinical profile of ALN1003 is notable in that it appears to engage several of these interconnected systems simultaneously.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On May 18, 2026, the Company announced preclinical ALN1003 data showing effects on insulin-resistance-related biomarkers and liver histology. In the longer-duration 48-day DIO model, ALN1003 was associated with significantly lower fasting insulin and significantly lower Homeostasis Model Assessment of Insulin Resistance (HOMA-IR), a calculated index derived from fasting glucose and insulin. ALN1003-treated animals had significantly lower HOMA-IR scores compared with controls after adjustment for percentage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body fat in a standard ANCOVA analysis (p=0.0006) with the same conclusion confirmed using heteroscedasticity-robust HC3 standard errors sensitivity analysis (p=0.0014). ALN1003 was also associated with numerically lower leptin, significantly higher adiponectin, and a significantly higher adiponectin-to-leptin ratio. Together, these findings are consistent with improved insulin-resistance-related biomarkers and favorable adipose endocrine signaling in this preclinical model.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Liver histology findings provided additional supportive evidence relevant to the liver component of metabolic syndrome. In a blinded pathology review of selected liver samples from the 48-day and 18-day DIO studies, H&amp;E-stained (hematoxylin and eosin stain) whole-slide images were evaluated for steatosis, lobular inflammation, ballooning degeneration, and NAS components, while Masson’s trichrome-stained sections were used to assess fibrosis. In evaluable samples, ALN1003-treated animals showed qualitative findings consistent with lower hepatic steatosis relative to controls, along with lower mean NAS scores. Control samples evaluated in the selected pathology set had NAS scores of 5, consistent with more active steatotic liver disease-like histology, while ALN1003-treated samples had lower mean NAS scores of 2.7 and 1.3 in the 48-day and 18-day studies, respectively. These limited pilot pathology findings do not establish MASLD resolution, fibrosis reversal, inflammation improvement, or clinical efficacy, but are consistent with a qualitative anti-steatotic effect in this preclinical model.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June 29, 2026, the Company announced a new preclinical statistical analysis of liver weight adjusted for body fat percentage from the 48-day DIO Study 1. ALN1003-treated animals had lower liver weight than controls after adjustment for body fat percentage in a standard ANCOVA analysis (p=0.000005), with the same conclusion confirmed using heteroscedasticity-robust HC3 standard errors as a sensitivity analysis (p=0.000015). This statistical finding indicates that the lower liver weight associated with ALN1003 treatment was not fully explained by measured body fat percentage in this model. The finding is directionally consistent with the previously disclosed liver-marker, selected histology, HOMA-IR, and adipose endocrine biomarker results.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Taken together, these findings suggest that ALN1003 may influence multiple components of metabolic syndrome biology in DIO mouse models, including insulin-resistance-related biomarkers, adipose endocrine signaling, and hepatic lipid accumulation. This multi-axis preclinical profile may be relevant to a therapeutic landscape increasingly focused on metabolic health beyond body weight alone, including liver health, cardiometabolic risk, and relative preservation of lean mass. </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The Company has published a non-confidential investor presentation, </w:t>
      </w:r>
      <w:r>
        <w:rPr>
          <w:rFonts w:ascii="Times New Roman" w:hAnsi="Times New Roman"/>
          <w:i/>
          <w:color w:val="000000"/>
          <w:sz w:val="20"/>
        </w:rPr>
        <w:t xml:space="preserve">Obesity and Metabolic Disorders Program — Results of Studies of ALN1003 in Diet-Induced Obese Mouse Model </w:t>
      </w:r>
      <w:r>
        <w:rPr>
          <w:rFonts w:ascii="Times New Roman" w:hAnsi="Times New Roman"/>
          <w:color w:val="000000"/>
          <w:sz w:val="20"/>
        </w:rPr>
        <w:t>(May 2026), containing integrated data summaries, statistical analyses, representative liver histology images, and study conclusions referenced herein. The presentation is available on the Investors section of the Company's website at www.alaunos.com.</w:t>
      </w:r>
    </w:p>
    <w:p>
      <w:pPr>
        <w:pStyle w:val="TextBody"/>
        <w:bidi w:val="0"/>
        <w:jc w:val="left"/>
        <w:rPr>
          <w:rFonts w:ascii="Times New Roman" w:hAnsi="Times New Roman"/>
          <w:color w:val="000000"/>
          <w:sz w:val="20"/>
        </w:rPr>
      </w:pPr>
      <w:r>
        <w:rPr>
          <w:rFonts w:ascii="Times New Roman" w:hAnsi="Times New Roman"/>
          <w:color w:val="000000"/>
          <w:sz w:val="20"/>
        </w:rPr>
        <w:t>Key findings from two separate DIO studies (non-GLP) are summarized below (nominal reported p-values are unadjusted for multiple comparisons):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DIO Study 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purpose of the first study was to evaluate the pharmacokinetics (PK) and tolerability of ALN1003 and to assess early proof-of-concept anti-obesity efficacy including changes in weight, metabolic biomarkers, and adipose remodeling. Mice received low, controlled oral doses of ALN1003, split into two doses each day. Measurements included daily body weight, food and water consumption at the cage level, and metabolic markers (blood collection after a 4-6 hour fast at end of study). All animals were observed prior to and after each dose administration. There were 12 mice in each group, with mice housed 3 per cage.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Relative to DIO controls, mean percent change in body weight for ALN1003-treated mice peaked at -12.9% (p&lt;0.0001) on Day 34 and was -10.3% (p&lt;0.0001) after 48 days of treatment. Peak reductions in absolute weight loss were observed by Day 13 and remained lower than DIO controls through Day 48 (p&lt;0.0001 at selected time points).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Food and water consumption:</w:t>
      </w:r>
      <w:r>
        <w:rPr>
          <w:rFonts w:ascii="Times New Roman" w:hAnsi="Times New Roman"/>
          <w:color w:val="000000"/>
          <w:sz w:val="20"/>
        </w:rPr>
        <w:t xml:space="preserve"> ALN1003 reduced cumulative food consumption versus DIO control (347.5 g/cage vs 425.0 g/cage; nominal p&lt;0.05). ALN1003 reduced water consumption (445.8 mL/cage vs 494.5 mL/cage; not statistically significant).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Liver and Fat Tissue: </w:t>
      </w:r>
      <w:r>
        <w:rPr>
          <w:rFonts w:ascii="Times New Roman" w:hAnsi="Times New Roman"/>
          <w:color w:val="000000"/>
          <w:sz w:val="20"/>
        </w:rPr>
        <w:t>In this study, ALN1003 reduced liver weight compared to untreated mice by 43% (p&lt;0.0001) and by 39% when expressed as a percentage of body weight (p&lt;0.0001). Long-term administration of ALN1003 was associated with lower ALT (alanine aminotransferase; p&lt;0.0001), AST (aspartate aminotransferase; nominal p&lt;0.0001) and ALP (alkaline phosphatase; p&lt;0.0001), with a trend toward lower total bilirubin (nominal p=0.058) compared to untreated mice.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unblinded macroscopic visual review of organ morphology was conducted comparing the liver and adipose tissues of the DIO control to the ALN1003 treatment group. Relative to DIO controls, ALN1003-treated animals exhibited smaller, deep reddish-brown livers; reduced epididymal white adipose tissue (eWAT) and inguinal white adipose tissue (iWAT) depots consistent with decreased adiposity; and darker interscapular BAT with appearance consistent with reduced “whitening” of BAT.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0"/>
        </w:rPr>
        <w:t>Tolerability:</w:t>
      </w:r>
      <w:r>
        <w:rPr>
          <w:rFonts w:ascii="Times New Roman" w:hAnsi="Times New Roman"/>
          <w:color w:val="000000"/>
          <w:sz w:val="20"/>
        </w:rPr>
        <w:t xml:space="preserve"> ALN1003 was generally well tolerated throughout the study. Mild, short-term, reversible hypolocomotion was observed after dosing in approximately one-half of dose administrations. There were no similar observations in DIO control animals.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DIO Study 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second study conducted was a pilot study to evaluate palatability, tolerability, anti-obesity effects, body composition and PK of ALN1003 administered orally in drinking water at three dose levels in DIO mice. The study comprised a treatment period of 14 days and a PK period of 4 days. ALN1003 was administered at three dose levels: low, medium and high. The middle and highest planned doses were 3 and 9 times higher than the low dose, respectively. Measurements included daily body weight, food and water consumption at the cage level, and metabolic parameters (blood collection after a 4-6 hour fast at end of study). All animals were observed each day. There were 6 mice in each group (2 mice per cage).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Food and water consumption:</w:t>
      </w:r>
      <w:r>
        <w:rPr>
          <w:rFonts w:ascii="Times New Roman" w:hAnsi="Times New Roman"/>
          <w:color w:val="000000"/>
          <w:sz w:val="20"/>
        </w:rPr>
        <w:t xml:space="preserve"> ALN1003 reduced cumulative food intake in a dose-dependent manner over the 14-day treatment period. Cumulative food consumption in grams per cage was 84.5g, 80.8g, 76.7g and 56.7g (nominal p&lt;0.05) for the DIO control, low, medium and high doses, respectively. Cumulative food consumption when normalized to body weight per cage was 87.9g, 85.6g, 86.7g and 73.6g for the DIO control, low, medium and high doses, respectively. ALN1003 reduced water intake significantly over the 14-day treatment period. Cumulative water consumption in milliliters per cage was 112.8 mL, 80.1 mL (nominal p&lt;0.05), 71.1 mL (p&lt;0.0001) and 63.5 mL (p&lt;0.0001) for the DIO control, low, medium and high doses, respectively. Cumulative water consumption when normalized to body weight per cage was 116.9 mL, 84.9 mL, 80.5 mL and 80.3 mL for the DIO control, low, medium and high doses, respectively. Actual dose consumed is dependent on how much water mice drink. Actual doses consumed during the 14-day treatment period were consistent with planned doses, with variances to planned doses of +7.3%, -0.3% and -6.9% in the low, medium and high dose groups,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Body composition</w:t>
      </w:r>
      <w:r>
        <w:rPr>
          <w:rFonts w:ascii="Times New Roman" w:hAnsi="Times New Roman"/>
          <w:color w:val="000000"/>
          <w:sz w:val="20"/>
        </w:rPr>
        <w:t xml:space="preserve"> was assessed using a Bruker Minispec</w:t>
      </w:r>
      <w:r>
        <w:rPr>
          <w:rFonts w:ascii="Times New Roman" w:hAnsi="Times New Roman"/>
          <w:color w:val="000000"/>
          <w:sz w:val="13"/>
        </w:rPr>
        <w:t>TM</w:t>
      </w:r>
      <w:r>
        <w:rPr>
          <w:rFonts w:ascii="Times New Roman" w:hAnsi="Times New Roman"/>
          <w:color w:val="000000"/>
          <w:sz w:val="20"/>
        </w:rPr>
        <w:t>LF90II Body Composition Analyzer (Bruker BioSpin, Billerica, MA, USA) and demonstrated dose-related changes that were driven primarily by fat loss but also included the loss of lean and fluid mass. The table below summarizes the mean percentage change from baseline through Day 17 in fat, lean and fluid as a % of body weight (BW) and mass in grams:</w:t>
      </w:r>
    </w:p>
    <w:p>
      <w:pPr>
        <w:pStyle w:val="TextBody"/>
        <w:bidi w:val="0"/>
        <w:jc w:val="both"/>
        <w:rPr/>
      </w:pPr>
      <w:r>
        <w:rPr/>
        <w:t> </w:t>
      </w:r>
    </w:p>
    <w:tbl>
      <w:tblPr>
        <w:tblW w:w="6935" w:type="dxa"/>
        <w:jc w:val="left"/>
        <w:tblInd w:w="0" w:type="dxa"/>
        <w:tblLayout w:type="fixed"/>
        <w:tblCellMar>
          <w:top w:w="28" w:type="dxa"/>
          <w:left w:w="28" w:type="dxa"/>
          <w:bottom w:w="28" w:type="dxa"/>
          <w:right w:w="28" w:type="dxa"/>
        </w:tblCellMar>
      </w:tblPr>
      <w:tblGrid>
        <w:gridCol w:w="1681"/>
        <w:gridCol w:w="1261"/>
        <w:gridCol w:w="1261"/>
        <w:gridCol w:w="1351"/>
        <w:gridCol w:w="1381"/>
      </w:tblGrid>
      <w:tr>
        <w:trPr/>
        <w:tc>
          <w:tcPr>
            <w:tcW w:w="16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Mean % Change:</w:t>
            </w:r>
          </w:p>
        </w:tc>
        <w:tc>
          <w:tcPr>
            <w:tcW w:w="12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Control</w:t>
            </w:r>
          </w:p>
        </w:tc>
        <w:tc>
          <w:tcPr>
            <w:tcW w:w="12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Low</w:t>
            </w:r>
          </w:p>
        </w:tc>
        <w:tc>
          <w:tcPr>
            <w:tcW w:w="135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Medium</w:t>
            </w:r>
          </w:p>
        </w:tc>
        <w:tc>
          <w:tcPr>
            <w:tcW w:w="138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High</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Fat%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+2.4%</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-1.5%</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-5.4%</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-21.9%</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Lean%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-1.3%</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+2.4%</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+4.6%</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+17.2%</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Fluid%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+0.4%</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-9.3%</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-12.0%</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-25.7%</w:t>
            </w:r>
            <w:r>
              <w:rPr>
                <w:rFonts w:ascii="Times New Roman" w:hAnsi="Times New Roman"/>
                <w:color w:val="000000"/>
                <w:sz w:val="13"/>
              </w:rPr>
              <w:t>b</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Fat in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+4.7% (+0.9g)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-1.8% (-0.4g)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-12.3% (-2.5g)</w:t>
            </w:r>
            <w:r>
              <w:rPr>
                <w:rFonts w:ascii="Times New Roman" w:hAnsi="Times New Roman"/>
                <w:color w:val="000000"/>
                <w:sz w:val="13"/>
              </w:rPr>
              <w:t>b</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-44.6% (-8.9g)</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Lean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 (+0.5g)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+2.2% (+0.6g)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-4.1% (-1.1g)</w:t>
            </w:r>
            <w:r>
              <w:rPr>
                <w:rFonts w:ascii="Times New Roman" w:hAnsi="Times New Roman"/>
                <w:color w:val="000000"/>
                <w:sz w:val="13"/>
              </w:rPr>
              <w:t>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-18.8% (-5.0g)</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Fluid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+2.7% (+0.1g)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-9.6% (-0.4g)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-18.8% (-0.7g)</w:t>
            </w:r>
            <w:r>
              <w:rPr>
                <w:rFonts w:ascii="Times New Roman" w:hAnsi="Times New Roman"/>
                <w:color w:val="000000"/>
                <w:sz w:val="13"/>
              </w:rPr>
              <w:t>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-47.3% (-1.8g)</w:t>
            </w:r>
            <w:r>
              <w:rPr>
                <w:rFonts w:ascii="Times New Roman" w:hAnsi="Times New Roman"/>
                <w:color w:val="000000"/>
                <w:sz w:val="13"/>
              </w:rPr>
              <w:t>c</w:t>
            </w:r>
          </w:p>
        </w:tc>
      </w:tr>
    </w:tbl>
    <w:p>
      <w:pPr>
        <w:pStyle w:val="TextBody"/>
        <w:bidi w:val="0"/>
        <w:jc w:val="both"/>
        <w:rPr>
          <w:rFonts w:ascii="Times New Roman" w:hAnsi="Times New Roman"/>
          <w:color w:val="000000"/>
          <w:sz w:val="20"/>
        </w:rPr>
      </w:pPr>
      <w:r>
        <w:rPr>
          <w:rFonts w:ascii="Times New Roman" w:hAnsi="Times New Roman"/>
          <w:color w:val="000000"/>
          <w:sz w:val="20"/>
        </w:rPr>
        <w:t>Significance of comparison to Control group: a: nominal p&lt;0.05; b: nominal p&lt;0.001; c: p&lt;0.0001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Liver and Fat Tissue: </w:t>
      </w:r>
      <w:r>
        <w:rPr>
          <w:rFonts w:ascii="Times New Roman" w:hAnsi="Times New Roman"/>
          <w:color w:val="000000"/>
          <w:sz w:val="20"/>
        </w:rPr>
        <w:t>At end of study Day 18, including the 14-day treatment period plus the PK period, dose-related reductions in liver weights compared to DIO control were -6.8%, -20.5% and -55.0% (nominal p&lt;0.01) in the low, medium and high dose groups, respectively. Reductions in liver weights expressed as a percentage of body weight relative to DIO control were -2.6%, -12.0% and -32.6% (nominal p&lt;0.05). Liver enzymes showed no statistically significant change after 18 days; gross liver appearance suggested reduced fat accumulation. Histological analyses of liver and adipose tissues are planned.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unblinded macroscopic visual review of organ morphology was conducted comparing the liver and adipose tissues of the DIO control to the high dose group. This analysis showed reductions in white fat depots (such as epididymal white adipose tissue, or eWAT, and inguinal white adipose tissue, or iWAT) and an interscapular BAT appearance consistent with reduced “whitening” in the ALN1003 tissues vs DIO control. Review of liver images suggested less visible fat accumulation and smaller, deep red-brown livers compared to DIO control.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Metabolic parameters: </w:t>
      </w:r>
      <w:r>
        <w:rPr>
          <w:rFonts w:ascii="Times New Roman" w:hAnsi="Times New Roman"/>
          <w:color w:val="000000"/>
          <w:sz w:val="20"/>
        </w:rPr>
        <w:t>In this study, the highest-dose group showed lower blood sugar (glucose; 197 mg/dL in high dose vs 320 mg/dL in DIO control; p&lt;0.0001) and lower total cholesterol (162 mg/dL in high dose vs 209 mg/dL in DIO control; nominal p&lt;0.05). HDL-C (high-density lipoprotein cholesterol), the dominant lipoprotein in DIO mice, also decreased to 130 mg/dL in high dose vs 165 mg/dL in DIO control; nominal p&lt;0.05.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Tolerability: </w:t>
      </w:r>
      <w:r>
        <w:rPr>
          <w:rFonts w:ascii="Times New Roman" w:hAnsi="Times New Roman"/>
          <w:color w:val="000000"/>
          <w:sz w:val="20"/>
        </w:rPr>
        <w:t>ALN1003 was generally well tolerated throughout the study; however, on Day 16 (during the PK portion of the study), two mice in the high-dose group were noted to be slightly dehydrated for the remainder of the study, although they otherwise appeared normal.</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Important Context and Model Limitations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Behavior-coupled dosing in unrestricted (ad libitum) drinking-water studies: In this paradigm, ALN1003 caused dose-related loss of appetite and thirst (anorexia/hypodipsia), leading to avoidance of medicated water. Despite actual doses consumed approximating planned doses in this study, reductions in drinking may confound attribution of weight loss solely to drug exposure in this model.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Development Roadmap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findings from the Company’s recent non-GLP diet-induced obesity mouse studies support the Company’s plan to conduct additional preclinical studies and CMC activities for ALN1003. These planned activities are intended to further characterize ALN1003’s pharmacology, evaluate exposure-response relationships, optimize formulation approaches, and support future development planning.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completed initial non-GLP, single-dose pharmacokinetic studies in large animals. Based on this preliminary data, the Company believes the observed pharmacokinetic profile is consistent with further evaluation of a twice-daily (BID) dosing schedule. Additional studies are required to confirm dose, formulation, exposure, safety, and pharmacodynamic relationships.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also planning additional studies to further characterize ALN1003’s mechanism of action and its effects on metabolic pathways relevant to insulin resistance, adipose endocrine signaling, and hepatic lipid accumulation.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parallel, the Company has initiated small-scale manufacturing activities intended to evaluate and refine production processes for ALN1003. Following completion and assessment of these activities, the Company may pursue a larger-scale production run using the refined process, subject to available capital, technical feasibility, and development priorities.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also initiated a computational chemistry program to design, synthesize, and test ALN1003 analogs or related compounds. The objective of this program is to identify potential next-generation compounds and strengthen the Company’s intellectual property position. The Company has synthesized its first next-generation compounds under this program and plans to evaluate additional compounds as resources permit.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advancement of this program is subject to numerous risks and uncertainties inherent in early-stage drug development. Subject to favorable data from these preclinical studies and our ability to secure additional capital, we plan to advance a selected development candidate into formal investigational new drug (IND)-enabling studies. We intend to actively explore strategic financing and collaboration opportunities to fund the continued development of this program.</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Nasdaq Shareholders Equity Deficiency Notice</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9, 2026, the Company received a notice (the “Notice”) from the Listing Qualifications staff of Nasdaq notifying the Company that the Company’s stockholders equity, as reported in its 2025 Annual Report, did not satisfy the continued listing requirements under Nasdaq Listing Rule 5550(b)(1) for the Nasdaq Capital Market, which requires that a listed company’s stockholder equity be at least $2.5 million. In its 2025 Form 10-K, the Company reported stockholders’ equity of $2.2 million, and, as a result, does not currently satisfy Nasdaq Listing Rule 5550(b)(1).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Notice had no immediate effect on the Company’s listing on the Nasdaq Capital Market. In accordance with Nasdaq rules, the Company had 45 calendar days from the date of the notification to submit a plan to regain compliance with Nasdaq Listing Rule 5550(b)(1). The Company has submitted its plan to regain compliance and is actively working with Nasdaq as it reviews and responds to the Company’s plan.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that the Company’s plan is not accepted, or that the plan is granted by the staff at Nasdaq but the Company is unable to regain compliance, the Company would have the right to request a hearing before an independent Nasdaq hearings panel. The request for a hearing would result in a stay of any suspension or delisting action pending the conclusion of the hearing process. </w:t>
      </w:r>
    </w:p>
    <w:p>
      <w:pPr>
        <w:pStyle w:val="TextBody"/>
        <w:bidi w:val="0"/>
        <w:spacing w:before="24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Three Months Ended June 30, 2026 Compared to Three Months Ended June 30,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during the three months ended June 30, 2026 and 2025 were as follows:</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tbl>
      <w:tblPr>
        <w:tblW w:w="7600" w:type="dxa"/>
        <w:jc w:val="left"/>
        <w:tblInd w:w="0" w:type="dxa"/>
        <w:tblLayout w:type="fixed"/>
        <w:tblCellMar>
          <w:top w:w="28" w:type="dxa"/>
          <w:left w:w="28" w:type="dxa"/>
          <w:bottom w:w="28" w:type="dxa"/>
          <w:right w:w="28" w:type="dxa"/>
        </w:tblCellMar>
      </w:tblPr>
      <w:tblGrid>
        <w:gridCol w:w="3091"/>
        <w:gridCol w:w="307"/>
        <w:gridCol w:w="613"/>
        <w:gridCol w:w="212"/>
        <w:gridCol w:w="212"/>
        <w:gridCol w:w="307"/>
        <w:gridCol w:w="613"/>
        <w:gridCol w:w="146"/>
        <w:gridCol w:w="146"/>
        <w:gridCol w:w="211"/>
        <w:gridCol w:w="421"/>
        <w:gridCol w:w="146"/>
        <w:gridCol w:w="146"/>
        <w:gridCol w:w="146"/>
        <w:gridCol w:w="421"/>
        <w:gridCol w:w="27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20"/>
        </w:rPr>
        <w:t>Research and development expenses for the three months ended June 30, 2026 increased by $203</w:t>
      </w:r>
      <w:r>
        <w:rPr>
          <w:rFonts w:ascii="Times New Roman" w:hAnsi="Times New Roman"/>
          <w:color w:val="FF0000"/>
          <w:sz w:val="20"/>
        </w:rPr>
        <w:t xml:space="preserve"> </w:t>
      </w:r>
      <w:r>
        <w:rPr>
          <w:rFonts w:ascii="Times New Roman" w:hAnsi="Times New Roman"/>
          <w:color w:val="000000"/>
          <w:sz w:val="20"/>
        </w:rPr>
        <w:t>when compared to the three months ended June 30, 2025, primarily due to an increase in stock based compensation, salary expense and consulting fees incurred in pursuit of our obesity and metabolic disorder program.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during the three months ended June 30, 2026 and 2025 were as follows:</w:t>
      </w:r>
    </w:p>
    <w:p>
      <w:pPr>
        <w:pStyle w:val="TextBody"/>
        <w:bidi w:val="0"/>
        <w:spacing w:before="120" w:after="283"/>
        <w:jc w:val="both"/>
        <w:rPr/>
      </w:pPr>
      <w:r>
        <w:rPr/>
        <w:t> </w:t>
      </w:r>
    </w:p>
    <w:tbl>
      <w:tblPr>
        <w:tblW w:w="7695" w:type="dxa"/>
        <w:jc w:val="left"/>
        <w:tblInd w:w="0" w:type="dxa"/>
        <w:tblLayout w:type="fixed"/>
        <w:tblCellMar>
          <w:top w:w="28" w:type="dxa"/>
          <w:left w:w="28" w:type="dxa"/>
          <w:bottom w:w="28" w:type="dxa"/>
          <w:right w:w="28" w:type="dxa"/>
        </w:tblCellMar>
      </w:tblPr>
      <w:tblGrid>
        <w:gridCol w:w="3091"/>
        <w:gridCol w:w="307"/>
        <w:gridCol w:w="613"/>
        <w:gridCol w:w="212"/>
        <w:gridCol w:w="212"/>
        <w:gridCol w:w="307"/>
        <w:gridCol w:w="613"/>
        <w:gridCol w:w="146"/>
        <w:gridCol w:w="146"/>
        <w:gridCol w:w="211"/>
        <w:gridCol w:w="481"/>
        <w:gridCol w:w="166"/>
        <w:gridCol w:w="146"/>
        <w:gridCol w:w="146"/>
        <w:gridCol w:w="376"/>
        <w:gridCol w:w="33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General and administrative expenses for the three months ended June 30, 2026 decreased by $290</w:t>
      </w:r>
      <w:r>
        <w:rPr>
          <w:rFonts w:ascii="Times New Roman" w:hAnsi="Times New Roman"/>
          <w:color w:val="FF0000"/>
          <w:sz w:val="20"/>
        </w:rPr>
        <w:t xml:space="preserve"> </w:t>
      </w:r>
      <w:r>
        <w:rPr>
          <w:rFonts w:ascii="Times New Roman" w:hAnsi="Times New Roman"/>
          <w:color w:val="000000"/>
          <w:sz w:val="20"/>
        </w:rPr>
        <w:t>as compared to the three months ended June 30, 2025, primarily due to a decrease in salary expense, insurance costs, filing fees, bank fees, legal fees and travel costs due to our downsized operations.</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during the three months ended June 30, 2026 and 2025 were as follows:</w:t>
      </w:r>
    </w:p>
    <w:p>
      <w:pPr>
        <w:pStyle w:val="TextBody"/>
        <w:bidi w:val="0"/>
        <w:spacing w:before="120" w:after="283"/>
        <w:jc w:val="both"/>
        <w:rPr/>
      </w:pPr>
      <w:r>
        <w:rPr/>
        <w:t> </w:t>
      </w:r>
    </w:p>
    <w:tbl>
      <w:tblPr>
        <w:tblW w:w="6099" w:type="dxa"/>
        <w:jc w:val="left"/>
        <w:tblInd w:w="0" w:type="dxa"/>
        <w:tblLayout w:type="fixed"/>
        <w:tblCellMar>
          <w:top w:w="28" w:type="dxa"/>
          <w:left w:w="28" w:type="dxa"/>
          <w:bottom w:w="28" w:type="dxa"/>
          <w:right w:w="28" w:type="dxa"/>
        </w:tblCellMar>
      </w:tblPr>
      <w:tblGrid>
        <w:gridCol w:w="1561"/>
        <w:gridCol w:w="347"/>
        <w:gridCol w:w="569"/>
        <w:gridCol w:w="240"/>
        <w:gridCol w:w="240"/>
        <w:gridCol w:w="347"/>
        <w:gridCol w:w="520"/>
        <w:gridCol w:w="146"/>
        <w:gridCol w:w="146"/>
        <w:gridCol w:w="146"/>
        <w:gridCol w:w="376"/>
        <w:gridCol w:w="166"/>
        <w:gridCol w:w="146"/>
        <w:gridCol w:w="146"/>
        <w:gridCol w:w="481"/>
        <w:gridCol w:w="331"/>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net, for the three months ended June 30, 2026 decreased by $19 as compared to the three months ended June 30, 2025.</w:t>
      </w:r>
    </w:p>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Royalty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Royalty revenue during the six months ended June 30, 2026 and 2025 were as follows:</w:t>
      </w:r>
    </w:p>
    <w:p>
      <w:pPr>
        <w:pStyle w:val="TextBody"/>
        <w:bidi w:val="0"/>
        <w:spacing w:before="120" w:after="283"/>
        <w:jc w:val="both"/>
        <w:rPr/>
      </w:pPr>
      <w:r>
        <w:rPr/>
        <w:t> </w:t>
      </w:r>
    </w:p>
    <w:tbl>
      <w:tblPr>
        <w:tblW w:w="6018" w:type="dxa"/>
        <w:jc w:val="left"/>
        <w:tblInd w:w="0" w:type="dxa"/>
        <w:tblLayout w:type="fixed"/>
        <w:tblCellMar>
          <w:top w:w="28" w:type="dxa"/>
          <w:left w:w="28" w:type="dxa"/>
          <w:bottom w:w="28" w:type="dxa"/>
          <w:right w:w="28" w:type="dxa"/>
        </w:tblCellMar>
      </w:tblPr>
      <w:tblGrid>
        <w:gridCol w:w="1276"/>
        <w:gridCol w:w="440"/>
        <w:gridCol w:w="723"/>
        <w:gridCol w:w="305"/>
        <w:gridCol w:w="305"/>
        <w:gridCol w:w="440"/>
        <w:gridCol w:w="440"/>
        <w:gridCol w:w="146"/>
        <w:gridCol w:w="146"/>
        <w:gridCol w:w="211"/>
        <w:gridCol w:w="271"/>
        <w:gridCol w:w="166"/>
        <w:gridCol w:w="146"/>
        <w:gridCol w:w="146"/>
        <w:gridCol w:w="481"/>
        <w:gridCol w:w="376"/>
      </w:tblGrid>
      <w:tr>
        <w:trPr/>
        <w:tc>
          <w:tcPr>
            <w:tcW w:w="127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1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during the six months ended June 30, 2026 and 2025 were as follows:</w:t>
      </w:r>
    </w:p>
    <w:tbl>
      <w:tblPr>
        <w:tblW w:w="7739" w:type="dxa"/>
        <w:jc w:val="left"/>
        <w:tblInd w:w="0" w:type="dxa"/>
        <w:tblLayout w:type="fixed"/>
        <w:tblCellMar>
          <w:top w:w="28" w:type="dxa"/>
          <w:left w:w="28" w:type="dxa"/>
          <w:bottom w:w="28" w:type="dxa"/>
          <w:right w:w="28" w:type="dxa"/>
        </w:tblCellMar>
      </w:tblPr>
      <w:tblGrid>
        <w:gridCol w:w="3091"/>
        <w:gridCol w:w="360"/>
        <w:gridCol w:w="718"/>
        <w:gridCol w:w="249"/>
        <w:gridCol w:w="249"/>
        <w:gridCol w:w="360"/>
        <w:gridCol w:w="718"/>
        <w:gridCol w:w="146"/>
        <w:gridCol w:w="146"/>
        <w:gridCol w:w="211"/>
        <w:gridCol w:w="421"/>
        <w:gridCol w:w="146"/>
        <w:gridCol w:w="146"/>
        <w:gridCol w:w="146"/>
        <w:gridCol w:w="31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Research and development expenses for the six months ended June 30, 2026 increased by $283</w:t>
      </w:r>
      <w:r>
        <w:rPr>
          <w:rFonts w:ascii="Times New Roman" w:hAnsi="Times New Roman"/>
          <w:color w:val="FF0000"/>
          <w:sz w:val="20"/>
        </w:rPr>
        <w:t xml:space="preserve"> </w:t>
      </w:r>
      <w:r>
        <w:rPr>
          <w:rFonts w:ascii="Times New Roman" w:hAnsi="Times New Roman"/>
          <w:color w:val="000000"/>
          <w:sz w:val="20"/>
        </w:rPr>
        <w:t>when compared to the six months ended June 30, 2025, primarily due to an increase in stock based compensation, salary expense and consulting fees incurred in pursuit of our obesity and metabolic disorders program.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during the six months ended June 30, 2026 and 2025 were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both"/>
        <w:rPr/>
      </w:pPr>
      <w:r>
        <w:rPr/>
        <w:t> </w:t>
      </w:r>
    </w:p>
    <w:tbl>
      <w:tblPr>
        <w:tblW w:w="7937" w:type="dxa"/>
        <w:jc w:val="left"/>
        <w:tblInd w:w="0" w:type="dxa"/>
        <w:tblLayout w:type="fixed"/>
        <w:tblCellMar>
          <w:top w:w="28" w:type="dxa"/>
          <w:left w:w="28" w:type="dxa"/>
          <w:bottom w:w="28" w:type="dxa"/>
          <w:right w:w="28" w:type="dxa"/>
        </w:tblCellMar>
      </w:tblPr>
      <w:tblGrid>
        <w:gridCol w:w="3091"/>
        <w:gridCol w:w="301"/>
        <w:gridCol w:w="817"/>
        <w:gridCol w:w="208"/>
        <w:gridCol w:w="208"/>
        <w:gridCol w:w="301"/>
        <w:gridCol w:w="817"/>
        <w:gridCol w:w="146"/>
        <w:gridCol w:w="146"/>
        <w:gridCol w:w="211"/>
        <w:gridCol w:w="481"/>
        <w:gridCol w:w="166"/>
        <w:gridCol w:w="146"/>
        <w:gridCol w:w="146"/>
        <w:gridCol w:w="376"/>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General and administrative expenses for the six months ended June 30, 2026 decreased by $453</w:t>
      </w:r>
      <w:r>
        <w:rPr>
          <w:rFonts w:ascii="Times New Roman" w:hAnsi="Times New Roman"/>
          <w:color w:val="FF0000"/>
          <w:sz w:val="20"/>
        </w:rPr>
        <w:t xml:space="preserve"> </w:t>
      </w:r>
      <w:r>
        <w:rPr>
          <w:rFonts w:ascii="Times New Roman" w:hAnsi="Times New Roman"/>
          <w:color w:val="000000"/>
          <w:sz w:val="20"/>
        </w:rPr>
        <w:t>as compared to the six months ended June 30, 2025, primarily due to a decrease in salary expense, insurance costs, filing fees, bank fees, legal fees and travel costs due to our downsized operations.</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during the six months ended June 30, 2026 and 2025 were as follows:</w:t>
      </w:r>
    </w:p>
    <w:p>
      <w:pPr>
        <w:pStyle w:val="TextBody"/>
        <w:bidi w:val="0"/>
        <w:jc w:val="both"/>
        <w:rPr/>
      </w:pPr>
      <w:r>
        <w:rPr/>
        <w:t> </w:t>
      </w:r>
    </w:p>
    <w:tbl>
      <w:tblPr>
        <w:tblW w:w="6240" w:type="dxa"/>
        <w:jc w:val="left"/>
        <w:tblInd w:w="0" w:type="dxa"/>
        <w:tblLayout w:type="fixed"/>
        <w:tblCellMar>
          <w:top w:w="28" w:type="dxa"/>
          <w:left w:w="28" w:type="dxa"/>
          <w:bottom w:w="28" w:type="dxa"/>
          <w:right w:w="28" w:type="dxa"/>
        </w:tblCellMar>
      </w:tblPr>
      <w:tblGrid>
        <w:gridCol w:w="1561"/>
        <w:gridCol w:w="349"/>
        <w:gridCol w:w="504"/>
        <w:gridCol w:w="349"/>
        <w:gridCol w:w="349"/>
        <w:gridCol w:w="349"/>
        <w:gridCol w:w="755"/>
        <w:gridCol w:w="146"/>
        <w:gridCol w:w="146"/>
        <w:gridCol w:w="146"/>
        <w:gridCol w:w="376"/>
        <w:gridCol w:w="166"/>
        <w:gridCol w:w="146"/>
        <w:gridCol w:w="146"/>
        <w:gridCol w:w="376"/>
        <w:gridCol w:w="376"/>
      </w:tblGrid>
      <w:tr>
        <w:trPr/>
        <w:tc>
          <w:tcPr>
            <w:tcW w:w="156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net, for the six months ended June 30, 2026 decreased by $33 as compared to the six months ended June 30,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revenue from product sales. Since inception, we have incurred net losses and negative cash flows from our operations. We have operated at a loss since inception in 2003 and have no significant recurring revenue from operations. We anticipate that losses will continue for the foreseeable future. As of June 30, 2026, our accumulated deficit was approximately $926.6 million. Our working capital deficit as of June 30, 2026 was $0.20 million, consisting of $0.70 million in current assets and $0.90 million in current liabilities. Our actual cash requirements may vary materially from those planned because of a number of factors, including changes in the focus, direction and pace of our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financed our operations primarily through public offerings and private placements of equity securities (including common stock, pre-funded warrants, and Series A-1 and Series A-2 Convertible Preferred Stock), as well as limited historical collaborations.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approximately $0.12 million of cash and cash equivalents. Our current monthly cash burn rate is approximately $0.21 million. At this rate we anticipate that our existing cash resources will be sufficient to fund operations into the third quarter of 2026. This estimate excludes any potential costs related to strategic transactions, unexpected legacy wind-down activities, unforeseen liabilities, or acceleration of our obesity and metabolic disorders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committed sources of additional capital. To continue operations beyond our current forecasted runway and to advance our preclinical Obesity and Metabolic Disorders Program through additional animal studies, formulation optimization, manufacturing scale-up, and IND-enabling work, we will need to raise substantial additional capital through equity or debt financings, collaborations, or other strategic transactions. There can be no assurance that additional funding will be available on favorable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actual cash requirements may vary materially from those currently planned due to a number of factors, including the pace and results of our preclinical studies for the obesity program, any changes in the focus or direction of our development efforts, costs associated with legacy obligations (including the remaining payments under the December 2025 MD Anderson Settlement and Release Agreement), and the outcome of any potential strategic opportunities. We have based our runway estimates on assumptions that may prove to be wrong, and our expenses could prove to be significantly higher than we currently anticipate.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our current cash forecast, management has determined that our present capital resources will not be sufficient to fund our planned operations for at least one year after the date these financial statements are issued. This raises substantial doubt about our ability to continue as a going concern. If we are unable to raise additional capital when required, we may be forced to further delay, reduce, or eliminate our development activities, which could ultimately lead to dissolution or liquidation. See “Risk Factors — We may require substantial additional financial resources to continue as a going concern and to advance our obesity and metabolic program” for additional discussion.</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Series A-1 and A-2 Preferred Stock Cumulative Dividends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Cumulative dividends on the Company’s Series A-1 and Series A-2 Convertible Preferred Stock accrue at 10% per annum and compound quarterly by increasing the liquidation preference. Undeclared cumulative dividends are not recorded as a liability. Because the Company reported a net loss for the periods presented, cumulative preferred dividends increased the net loss attributable to common stockholders in the earnings-per-share calculation. As of June 30, 2026, undeclared cumulative dividends totaled $64 for Series A-1 and $89 for Series A-2.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net decrease in cash and cash equivalents for the six months ended June 30, 2026 and 2025:</w:t>
      </w:r>
    </w:p>
    <w:p>
      <w:pPr>
        <w:pStyle w:val="TextBody"/>
        <w:bidi w:val="0"/>
        <w:jc w:val="both"/>
        <w:rPr/>
      </w:pPr>
      <w:r>
        <w:rPr/>
        <w:t> </w:t>
      </w:r>
    </w:p>
    <w:tbl>
      <w:tblPr>
        <w:tblW w:w="7530" w:type="dxa"/>
        <w:jc w:val="left"/>
        <w:tblInd w:w="0" w:type="dxa"/>
        <w:tblLayout w:type="fixed"/>
        <w:tblCellMar>
          <w:top w:w="28" w:type="dxa"/>
          <w:left w:w="28" w:type="dxa"/>
          <w:bottom w:w="28" w:type="dxa"/>
          <w:right w:w="28" w:type="dxa"/>
        </w:tblCellMar>
      </w:tblPr>
      <w:tblGrid>
        <w:gridCol w:w="4321"/>
        <w:gridCol w:w="146"/>
        <w:gridCol w:w="280"/>
        <w:gridCol w:w="839"/>
        <w:gridCol w:w="220"/>
        <w:gridCol w:w="194"/>
        <w:gridCol w:w="280"/>
        <w:gridCol w:w="839"/>
        <w:gridCol w:w="4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flows from operating activities represent the cash receipts and disbursements related to all of our activities other than investing and financing activities. Operating cash flow is derived by adjusting our net loss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Non-cash operating items such as depreciation, amortization, and stock-based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operating assets and liabilities which reflect timing differences between the receipt and payment of cash associated with transactions and when they are recognized in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flows used in operating activities for the six months ended June 30, 2026 was $1.33 million, as compared to net cash used in operating activities of $1.47 million for the six months ended June 30, 2025. The decrease in net cash used in operating activities was primarily related to a decrease in our net loss, offset by an increase in timing of accounts payable and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flows provided by financing activities for the six months ended June 30, 2026 was $70 due to net proceeds draw down on our equity line of credit. The net cash flows provided by financing activities for the six months ended June 30, 2025 was $3,261 was directly attributable to proceeds from the issuance of common stock and prefunded warrants, the sale of Series A-1 Preferred Stock, and the sale of Series A-2 Preferred Stock.</w:t>
      </w:r>
    </w:p>
    <w:p>
      <w:pPr>
        <w:pStyle w:val="TextBody"/>
        <w:bidi w:val="0"/>
        <w:spacing w:before="120" w:after="283"/>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Capital Resources</w:t>
      </w:r>
    </w:p>
    <w:p>
      <w:pPr>
        <w:pStyle w:val="TextBody"/>
        <w:bidi w:val="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have no lease commitments, other than a short-term lease.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Royalty and License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2022, Solasia Pharma K. K., or Solasia, announced that darinaparsin had been approved for relapsed or refractory Peripheral T-Cell Lymphoma by the Ministry of Health, Labor and Welfare in Japan. During the three and six months ended June 30, 2026, the Company earned collaboration revenue of $0, respectively under this agreement. During the three and six months ended June 30, 2025, the Company earned collaboration revenue of $0 and $2, respectively under this agreement. </w:t>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bookmarkStart w:id="9" w:name="item_3_"/>
      <w:bookmarkEnd w:id="9"/>
      <w:r>
        <w:rPr>
          <w:rFonts w:ascii="Times New Roman" w:hAnsi="Times New Roman"/>
          <w:b/>
          <w:i/>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smaller reporting company, as defined by Rule 12b-2 under the Securities Exchange Act of 1934, as amended, or the Exchange Act, we are not required to provide the information under this item.</w:t>
      </w:r>
    </w:p>
    <w:p>
      <w:pPr>
        <w:pStyle w:val="TextBody"/>
        <w:bidi w:val="0"/>
        <w:spacing w:before="240" w:after="283"/>
        <w:jc w:val="both"/>
        <w:rPr>
          <w:rFonts w:ascii="Times New Roman" w:hAnsi="Times New Roman"/>
          <w:b/>
          <w:i/>
          <w:color w:val="000000"/>
          <w:sz w:val="20"/>
        </w:rPr>
      </w:pPr>
      <w:bookmarkStart w:id="10" w:name="item_4_"/>
      <w:bookmarkEnd w:id="10"/>
      <w:r>
        <w:rPr>
          <w:rFonts w:ascii="Times New Roman" w:hAnsi="Times New Roman"/>
          <w:b/>
          <w:i/>
          <w:color w:val="000000"/>
          <w:sz w:val="20"/>
        </w:rPr>
        <w:t>Item 4. Controls and Procedures.</w:t>
      </w:r>
    </w:p>
    <w:p>
      <w:pPr>
        <w:pStyle w:val="TextBody"/>
        <w:bidi w:val="0"/>
        <w:spacing w:before="240" w:after="283"/>
        <w:jc w:val="both"/>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principal financial officer, has evaluated the effectiveness of our disclosure controls and procedures (as defined in Rules 13a-15(e) or 15d-15(e) under the Exchange Act) as of June 30, 2026. The term “disclosure controls and procedures,” as defined in Rules 13a-15(e) and 15d-15(e) under the Exchange Act, means controls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accounting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that evaluation, our principal executive officer and principal financial officer has concluded that as of June 30, 2026, our disclosure controls and procedures were not effective.</w:t>
      </w:r>
    </w:p>
    <w:p>
      <w:pPr>
        <w:pStyle w:val="TextBody"/>
        <w:bidi w:val="0"/>
        <w:spacing w:before="240" w:after="283"/>
        <w:jc w:val="both"/>
        <w:rPr>
          <w:rFonts w:ascii="Times New Roman" w:hAnsi="Times New Roman"/>
          <w:sz w:val="20"/>
        </w:rPr>
      </w:pPr>
      <w:r>
        <w:rPr>
          <w:rFonts w:ascii="Times New Roman" w:hAnsi="Times New Roman"/>
          <w:b/>
          <w:color w:val="000000"/>
          <w:sz w:val="20"/>
        </w:rPr>
        <w:t>Changes in Internal Controls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(as defined in Rule 13a-15(f) and Rule 15d-15(f) of the Exchange Act) that occurred during the quarter ended June 30, 2026 that have materially affected, or are reasonably likely to materially affect, our internal control over financial reporting.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II—OTHER INFORMATION</w:t>
      </w:r>
    </w:p>
    <w:p>
      <w:pPr>
        <w:pStyle w:val="TextBody"/>
        <w:bidi w:val="0"/>
        <w:spacing w:before="240" w:after="283"/>
        <w:jc w:val="left"/>
        <w:rPr>
          <w:rFonts w:ascii="Times New Roman" w:hAnsi="Times New Roman"/>
          <w:b/>
          <w:i/>
          <w:color w:val="000000"/>
          <w:sz w:val="20"/>
        </w:rPr>
      </w:pPr>
      <w:bookmarkStart w:id="11" w:name="item_1_legal_proceeding_"/>
      <w:bookmarkEnd w:id="11"/>
      <w:r>
        <w:rPr>
          <w:rFonts w:ascii="Times New Roman" w:hAnsi="Times New Roman"/>
          <w:b/>
          <w:i/>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business, financial condition, results of operations, cash flows and prospects. In addition, regardless of the outcome, litigation could have an adverse impact on us because of defense costs, diversion of management attention and resources and other factors.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any pending litigation that, separately or in the aggregate, would, in the opinion of management, be reasonably likely to have a material adverse effect on our business, financial condition, results of operations, cash flows or prospects. </w:t>
      </w:r>
    </w:p>
    <w:p>
      <w:pPr>
        <w:pStyle w:val="TextBody"/>
        <w:bidi w:val="0"/>
        <w:spacing w:before="120" w:after="283"/>
        <w:jc w:val="both"/>
        <w:rPr/>
      </w:pPr>
      <w:r>
        <w:rPr/>
        <w:t> </w:t>
      </w:r>
    </w:p>
    <w:p>
      <w:pPr>
        <w:pStyle w:val="TextBody"/>
        <w:bidi w:val="0"/>
        <w:spacing w:before="240" w:after="283"/>
        <w:jc w:val="left"/>
        <w:rPr>
          <w:rFonts w:ascii="Times New Roman" w:hAnsi="Times New Roman"/>
          <w:b/>
          <w:i/>
          <w:color w:val="000000"/>
          <w:sz w:val="20"/>
        </w:rPr>
      </w:pPr>
      <w:bookmarkStart w:id="12" w:name="item_1a_risk_factor_"/>
      <w:bookmarkEnd w:id="12"/>
      <w:r>
        <w:rPr>
          <w:rFonts w:ascii="Times New Roman" w:hAnsi="Times New Roman"/>
          <w:b/>
          <w:i/>
          <w:color w:val="000000"/>
          <w:sz w:val="20"/>
        </w:rPr>
        <w:t>Item 1A.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faces significant and evolving risks, many of which are described in the section captioned “Risk Factors” in our Annual Report on Form 10-K for the year ended December 31, 2025, filed with the SEC on March 31, 2026, as amended by Amendment No. 1 filed on April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risks described in our prior and current filings may not be exhaustive. Additional risks of which we are currently unaware, or that we presently deem immaterial, may also emerge or intensify and materially impair our business, financial condition, results of operations, cash flows, or prospects. If any of the events or circumstances described in these risk factors occur our operations may be curtailed, our strategic process may fail, and we may be forced to pursue dissolution or bankruptcy, resulting in a total loss of your investment. Investors and prospective investors must carefully consider the risks detailed in our Annual Report, Quarterly Reports, and this Form 10-Q, along with the “Forward-Looking Statements” section and all other information herein, before making any investment decision.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A Nasdaq continued listing requirement mandating a minimum Market Value of Listed Securities of $5.0 million is currently stayed and subject to SEC review; if the requirement becomes operative and we fail to comply, trading in our common stock could be suspended and our common stock could be delisted without the customary opportunity to regain compliance.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22, 2026, the Division of Trading and Markets of the Securities and Exchange Commission, acting pursuant to delegated authority, approved a Nasdaq rule change that would require companies listed on the Nasdaq Capital Market to maintain a Market Value of Listed Securities, or “MVLS,” of at least $5.0 million. MVLS generally is determined by multiplying the consolidated closing bid price of a company’s listed securities by the number of securities being valued. The new requirement would be codified as Nasdaq Listing Rule 5550(a)(6) and would apply in addition to Nasdaq’s other continued listing requirements.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rule as approved, if our MVLS were to remain below $5.0 million for 30 consecutive business days, Nasdaq Staff would issue a Staff Delisting Determination and our common stock would become immediately subject to suspension and delisting. Unlike many other Nasdaq continued listing deficiencies, we would not automatically receive a cure or compliance period before suspension. In addition, although we could request a hearing before a Nasdaq Hearings Panel, a timely hearing request would not stay the suspension of trading in our common stock. A Hearings Panel could reverse the Staff Delisting Determination if it determined that the determination was made in error or could, in limited circumstances, grant an exception of up to 180 days for us to demonstrate compliance with all applicable initial listing requirements, rather than merely the $5.0 million MVLS requirement. There can be no assurance that a Hearings Panel would grant any such exception or that we would be able to satisfy all applicable initial listing requirements within the period granted.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29, 2026, following the SEC’s receipt of notices of intention to petition for review of the delegated action, the SEC notified Nasdaq that the July 22, 2026 approval order had been automatically stayed pursuant to Rule 431(e) of the SEC’s Rules of Practice and would remain stayed until the Commission orders otherwise. As of the date of this Quarterly Report, the stay remains in effect and the Nasdaq rulebook continues to identify the approval order as stayed. The stay is procedural and does not constitute a final determination regarding the validity or ultimate implementation of the rule. The Commission may affirm, reverse, modify, set aside or remand the delegated action, in whole or in part, and may terminate or continue the stay. Accordingly, we cannot predict the duration of the stay, the timing or outcome of the Commission’s review, whether the rule ultimately will become operative in its approved or a modified form, or what implementation date, transition provisions or measurement procedures Nasdaq may apply if the stay is lifted. In particular, there is uncertainty regarding when Nasdaq would begin or resume measuring the 30-consecutive-business-day period following any termination of the stay.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left"/>
        <w:rPr>
          <w:rFonts w:ascii="Times New Roman" w:hAnsi="Times New Roman"/>
          <w:sz w:val="20"/>
        </w:rPr>
      </w:pPr>
      <w:bookmarkStart w:id="13" w:name="item_2_unregistered_sale_"/>
      <w:bookmarkEnd w:id="13"/>
      <w:r>
        <w:rPr>
          <w:rFonts w:ascii="Times New Roman" w:hAnsi="Times New Roman"/>
          <w:b/>
          <w:color w:val="000000"/>
          <w:sz w:val="20"/>
        </w:rPr>
        <w:t>Item 2. Unregistered Sale of Equity Securities and Use of Proceeds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set forth below relates to our issuances of securities without registration under the Securities Act of 1933 in reliance on Section 4(a)(2) of the Securities Act, and/or Regulation D promulgated thereunder.</w:t>
      </w:r>
    </w:p>
    <w:p>
      <w:pPr>
        <w:pStyle w:val="TextBody"/>
        <w:bidi w:val="0"/>
        <w:jc w:val="both"/>
        <w:rPr/>
      </w:pPr>
      <w:r>
        <w:rPr/>
        <w:t> </w:t>
      </w:r>
    </w:p>
    <w:p>
      <w:pPr>
        <w:pStyle w:val="TextBody"/>
        <w:bidi w:val="0"/>
        <w:jc w:val="left"/>
        <w:rPr>
          <w:rFonts w:ascii="Times New Roman" w:hAnsi="Times New Roman"/>
          <w:sz w:val="20"/>
        </w:rPr>
      </w:pPr>
      <w:bookmarkStart w:id="14" w:name="item_3_default_"/>
      <w:bookmarkEnd w:id="14"/>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15" w:name="item_4_mine_safety_"/>
      <w:bookmarkEnd w:id="15"/>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6" w:name="item_5_other_information_"/>
      <w:bookmarkEnd w:id="16"/>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17" w:name="item_6_exhibit_"/>
      <w:bookmarkEnd w:id="17"/>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9408"/>
      </w:tblGrid>
      <w:tr>
        <w:trPr/>
        <w:tc>
          <w:tcPr>
            <w:tcW w:w="797" w:type="dxa"/>
            <w:tcBorders/>
            <w:vAlign w:val="center"/>
          </w:tcPr>
          <w:p>
            <w:pPr>
              <w:pStyle w:val="TableContents"/>
              <w:bidi w:val="0"/>
              <w:spacing w:before="0" w:after="283"/>
              <w:jc w:val="left"/>
              <w:rPr>
                <w:sz w:val="4"/>
                <w:szCs w:val="4"/>
              </w:rPr>
            </w:pPr>
            <w:r>
              <w:rPr>
                <w:sz w:val="4"/>
                <w:szCs w:val="4"/>
              </w:rPr>
            </w:r>
          </w:p>
        </w:tc>
        <w:tc>
          <w:tcPr>
            <w:tcW w:w="9408" w:type="dxa"/>
            <w:tcBorders/>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94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
              <w:r>
                <w:rPr>
                  <w:rStyle w:val="InternetLink"/>
                  <w:rFonts w:ascii="Times New Roman" w:hAnsi="Times New Roman"/>
                  <w:color w:val="0000FF"/>
                  <w:sz w:val="20"/>
                  <w:u w:val="single"/>
                </w:rPr>
                <w:t>Second Amended and Restated Certificate of Incorporation of Alaunos Therapeutics, Inc. (incorporated by reference to Exhibit 3.1 to the Registrant’s Current Report on Form 8-K, SEC File No. 001-33038, filed February 1, 2024).</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
              <w:r>
                <w:rPr>
                  <w:rStyle w:val="InternetLink"/>
                  <w:rFonts w:ascii="Times New Roman" w:hAnsi="Times New Roman"/>
                  <w:color w:val="0000FF"/>
                  <w:sz w:val="20"/>
                  <w:u w:val="single"/>
                </w:rPr>
                <w:t>Certificate of Designation of Series A-1 Convertible Preferred Stock of Alaunos Therapeutics, Inc. (incorporated by reference to Exhibit 3.1 to the Registrant’s Current Report on Form 8-K, filed on April 14, 2025).</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3.3</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
              <w:r>
                <w:rPr>
                  <w:rStyle w:val="InternetLink"/>
                  <w:rFonts w:ascii="Times New Roman" w:hAnsi="Times New Roman"/>
                  <w:color w:val="0000FF"/>
                  <w:sz w:val="20"/>
                  <w:u w:val="single"/>
                </w:rPr>
                <w:t>Certificate of Designation of Series A-2 Convertible Preferred Stock of Alaunos Therapeutics, Inc. (incorporated by reference to Exhibit 3.1 to the Registrant’s Current Report on Form 8-K, filed on June 26, 2025).</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3.4</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5">
              <w:r>
                <w:rPr>
                  <w:rStyle w:val="InternetLink"/>
                  <w:rFonts w:ascii="Times New Roman" w:hAnsi="Times New Roman"/>
                  <w:color w:val="0000FF"/>
                  <w:sz w:val="20"/>
                  <w:u w:val="single"/>
                </w:rPr>
                <w:t>Amended and Restated Bylaws of the Registrant, dated as of September 21, 2020 (incorporated by reference to Exhibit 3.1 to the Registrant’s Current Report on Form 8-K, SEC File No. 001-33038, filed September 22, 2020).</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31.1+</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tcrt-ex31_1.htm">
              <w:r>
                <w:rPr>
                  <w:rStyle w:val="InternetLink"/>
                  <w:rFonts w:ascii="Times New Roman" w:hAnsi="Times New Roman"/>
                  <w:color w:val="0000FF"/>
                  <w:sz w:val="20"/>
                  <w:u w:val="single"/>
                </w:rPr>
                <w:t>Certification of Principal Executive Officer and Principal Financial Officer pursuant to Exchange Act Rule 13a-14(a) or 15(d)-14(a),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32.1++</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tcrt-ex32_1.htm">
              <w:r>
                <w:rPr>
                  <w:rStyle w:val="InternetLink"/>
                  <w:rFonts w:ascii="Times New Roman" w:hAnsi="Times New Roman"/>
                  <w:color w:val="0000FF"/>
                  <w:sz w:val="20"/>
                  <w:u w:val="single"/>
                </w:rPr>
                <w:t>Certifications of Principal Executive Officer and Principal Financial Officer pursuant to 18 U.S.C. Section 1350, as adopted pursuant to Section 906 of the Sarbanes-Oxley Act of 2002</w:t>
              </w:r>
            </w:hyperlink>
            <w:hyperlink w:anchor="tcrt-ex32_1.htm">
              <w:r>
                <w:rPr>
                  <w:rStyle w:val="InternetLink"/>
                  <w:rFonts w:ascii="Times New Roman" w:hAnsi="Times New Roman"/>
                  <w:color w:val="0000FF"/>
                  <w:sz w:val="20"/>
                </w:rPr>
                <w:t xml:space="preserve"> </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101.INS+</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101.SCH+</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Cover Page Interactive Data File—the cover page interactive data is embedded within the Inline XBRL document or included within the Exhibit 101 attachments</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18" w:name="signatures_"/>
      <w:bookmarkEnd w:id="18"/>
      <w:r>
        <w:rPr>
          <w:rFonts w:ascii="Times New Roman" w:hAnsi="Times New Roman"/>
          <w:b/>
          <w:color w:val="000000"/>
          <w:sz w:val="20"/>
          <w:u w:val="single"/>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283"/>
        <w:jc w:val="left"/>
        <w:rPr>
          <w:rFonts w:ascii="Times New Roman" w:hAnsi="Times New Roman"/>
          <w:sz w:val="20"/>
        </w:rPr>
      </w:pPr>
      <w:r>
        <w:rPr>
          <w:rFonts w:ascii="Times New Roman" w:hAnsi="Times New Roman"/>
          <w:b/>
          <w:color w:val="000000"/>
          <w:sz w:val="20"/>
        </w:rPr>
        <w:t>ALAUNOS THERAPEUTICS, INC.</w:t>
      </w:r>
      <w:r>
        <w:rPr>
          <w:rFonts w:ascii="Times New Roman" w:hAnsi="Times New Roman"/>
          <w:color w:val="000000"/>
          <w:sz w:val="20"/>
        </w:rPr>
        <w:t xml:space="preserve"> </w:t>
      </w:r>
    </w:p>
    <w:tbl>
      <w:tblPr>
        <w:tblW w:w="8281" w:type="dxa"/>
        <w:jc w:val="left"/>
        <w:tblInd w:w="0" w:type="dxa"/>
        <w:tblLayout w:type="fixed"/>
        <w:tblCellMar>
          <w:top w:w="28" w:type="dxa"/>
          <w:left w:w="28" w:type="dxa"/>
          <w:bottom w:w="28" w:type="dxa"/>
          <w:right w:w="28" w:type="dxa"/>
        </w:tblCellMar>
      </w:tblPr>
      <w:tblGrid>
        <w:gridCol w:w="8281"/>
      </w:tblGrid>
      <w:tr>
        <w:trPr/>
        <w:tc>
          <w:tcPr>
            <w:tcW w:w="8281" w:type="dxa"/>
            <w:tcBorders/>
            <w:vAlign w:val="center"/>
          </w:tcPr>
          <w:p>
            <w:pPr>
              <w:pStyle w:val="TableContents"/>
              <w:bidi w:val="0"/>
              <w:spacing w:before="0" w:after="283"/>
              <w:jc w:val="left"/>
              <w:rPr>
                <w:sz w:val="4"/>
                <w:szCs w:val="4"/>
              </w:rPr>
            </w:pPr>
            <w:r>
              <w:rPr>
                <w:sz w:val="4"/>
                <w:szCs w:val="4"/>
              </w:rPr>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r>
      <w:tr>
        <w:trPr/>
        <w:tc>
          <w:tcPr>
            <w:tcW w:w="8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Holger Weis</w:t>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Holger Weis</w:t>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w:t>
            </w:r>
          </w:p>
        </w:tc>
      </w:tr>
      <w:tr>
        <w:trPr/>
        <w:tc>
          <w:tcPr>
            <w:tcW w:w="8281"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i/>
                <w:color w:val="000000"/>
                <w:sz w:val="20"/>
              </w:rPr>
            </w:pPr>
            <w:r>
              <w:rPr>
                <w:rFonts w:ascii="Times New Roman" w:hAnsi="Times New Roman"/>
                <w:i/>
                <w:color w:val="000000"/>
                <w:sz w:val="20"/>
              </w:rPr>
              <w:t>(On Behalf of the Registrant and as Principal Executive Officer and Principal Financial Officer)</w:t>
            </w:r>
          </w:p>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Dated: August 14, 2026</w:t>
            </w:r>
          </w:p>
        </w:tc>
      </w:tr>
    </w:tbl>
    <w:p>
      <w:pPr>
        <w:pStyle w:val="TextBody"/>
        <w:bidi w:val="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Ferdinand Groenewald</w:t>
            </w:r>
          </w:p>
        </w:tc>
      </w:tr>
      <w:tr>
        <w:trPr/>
        <w:tc>
          <w:tcPr>
            <w:tcW w:w="29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Ferdinand Groenewald</w:t>
            </w:r>
          </w:p>
        </w:tc>
      </w:tr>
      <w:tr>
        <w:trPr/>
        <w:tc>
          <w:tcPr>
            <w:tcW w:w="29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Vice President, Finance</w:t>
            </w:r>
          </w:p>
        </w:tc>
      </w:tr>
      <w:tr>
        <w:trPr/>
        <w:tc>
          <w:tcPr>
            <w:tcW w:w="2911"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i/>
                <w:color w:val="000000"/>
                <w:sz w:val="20"/>
              </w:rPr>
            </w:pPr>
            <w:r>
              <w:rPr>
                <w:rFonts w:ascii="Times New Roman" w:hAnsi="Times New Roman"/>
                <w:i/>
                <w:color w:val="000000"/>
                <w:sz w:val="20"/>
              </w:rPr>
              <w:t>(Principal Accounting Officer)</w:t>
            </w:r>
          </w:p>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Dated: August 14, 2026</w:t>
            </w:r>
          </w:p>
          <w:p>
            <w:pPr>
              <w:pStyle w:val="TableContents"/>
              <w:bidi w:val="0"/>
              <w:spacing w:before="0" w:after="283"/>
              <w:ind w:left="0" w:right="0" w:firstLine="240"/>
              <w:jc w:val="left"/>
              <w:rPr/>
            </w:pPr>
            <w:r>
              <w:rPr/>
              <w:t> </w:t>
            </w:r>
          </w:p>
        </w:tc>
      </w:tr>
    </w:tbl>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right"/>
        <w:rPr/>
      </w:pPr>
      <w:bookmarkStart w:id="19" w:name="tcrt-ex31_1.htm"/>
      <w:bookmarkStart w:id="20" w:name="kstcrtex31_1"/>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CERTIFICATION OF PRINCIPAL EXECUTIVE OFFICER AND PRINCIPAL FINANCIAL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Holger Weis, certify that: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have reviewed this Quarterly Report on Form 10-Q of Alaunos Therapeutics, Inc.;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spacing w:before="0" w:after="20"/>
        <w:jc w:val="left"/>
        <w:rPr>
          <w:rFonts w:ascii="Times New Roman" w:hAnsi="Times New Roman"/>
          <w:color w:val="000000"/>
          <w:sz w:val="20"/>
        </w:rPr>
      </w:pPr>
      <w:r>
        <w:rPr>
          <w:rFonts w:ascii="Times New Roman" w:hAnsi="Times New Roman"/>
          <w:color w:val="000000"/>
          <w:sz w:val="20"/>
        </w:rPr>
        <w:t>Date: August 14,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 Holger Weis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Holger Weis</w:t>
      </w:r>
    </w:p>
    <w:p>
      <w:pPr>
        <w:pStyle w:val="TextBody"/>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extBody"/>
        <w:bidi w:val="0"/>
        <w:jc w:val="left"/>
        <w:rPr>
          <w:rFonts w:ascii="Times New Roman" w:hAnsi="Times New Roman"/>
          <w:i/>
          <w:color w:val="000000"/>
          <w:sz w:val="20"/>
        </w:rPr>
      </w:pPr>
      <w:r>
        <w:rPr>
          <w:rFonts w:ascii="Times New Roman" w:hAnsi="Times New Roman"/>
          <w:i/>
          <w:color w:val="000000"/>
          <w:sz w:val="20"/>
        </w:rPr>
        <w:t>Principal Executive Officer and</w:t>
      </w:r>
    </w:p>
    <w:p>
      <w:pPr>
        <w:pStyle w:val="TextBody"/>
        <w:bidi w:val="0"/>
        <w:jc w:val="left"/>
        <w:rPr>
          <w:rFonts w:ascii="Times New Roman" w:hAnsi="Times New Roman"/>
          <w:i/>
          <w:color w:val="000000"/>
          <w:sz w:val="20"/>
        </w:rPr>
      </w:pPr>
      <w:r>
        <w:rPr>
          <w:rFonts w:ascii="Times New Roman" w:hAnsi="Times New Roman"/>
          <w:i/>
          <w:color w:val="000000"/>
          <w:sz w:val="20"/>
        </w:rPr>
        <w:t>Principal Financial Officer</w:t>
      </w:r>
    </w:p>
    <w:p>
      <w:pPr>
        <w:pStyle w:val="HorizontalLine"/>
        <w:pBdr>
          <w:bottom w:val="double" w:sz="2" w:space="0" w:color="808080"/>
        </w:pBdr>
        <w:bidi w:val="0"/>
        <w:spacing w:before="0" w:after="283"/>
        <w:jc w:val="left"/>
        <w:rPr/>
      </w:pPr>
      <w:r>
        <w:rPr/>
      </w:r>
    </w:p>
    <w:p>
      <w:pPr>
        <w:pStyle w:val="TextBody"/>
        <w:bidi w:val="0"/>
        <w:jc w:val="right"/>
        <w:rPr/>
      </w:pPr>
      <w:bookmarkStart w:id="21" w:name="tcrt-ex32_1.htm"/>
      <w:bookmarkStart w:id="22" w:name="kstcrtex32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Alaunos Therapeutics, Inc. (the “Company”) on Form 10-Q for the period ended June 30, 2026, as filed with the Securities and Exchange Commission on the date hereof (the “Report”), I, Holger Weis, Chief Executive Officer and Director (and Principal Executive Officer and Principal Financial Officer) of the Company, certify, pursuant to 18 U.S.C. Section 1350, as adopted pursuant to Section 906 of the Sarbanes-Oxley Act of 2002,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 Holger Weis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Holger Weis</w:t>
      </w:r>
    </w:p>
    <w:p>
      <w:pPr>
        <w:pStyle w:val="TextBody"/>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extBody"/>
        <w:bidi w:val="0"/>
        <w:jc w:val="left"/>
        <w:rPr>
          <w:rFonts w:ascii="Times New Roman" w:hAnsi="Times New Roman"/>
          <w:i/>
          <w:color w:val="000000"/>
          <w:sz w:val="20"/>
        </w:rPr>
      </w:pPr>
      <w:r>
        <w:rPr>
          <w:rFonts w:ascii="Times New Roman" w:hAnsi="Times New Roman"/>
          <w:i/>
          <w:color w:val="000000"/>
          <w:sz w:val="20"/>
        </w:rPr>
        <w:t>Principal Executive Officer and</w:t>
      </w:r>
    </w:p>
    <w:p>
      <w:pPr>
        <w:pStyle w:val="TextBody"/>
        <w:bidi w:val="0"/>
        <w:jc w:val="left"/>
        <w:rPr>
          <w:rFonts w:ascii="Times New Roman" w:hAnsi="Times New Roman"/>
          <w:i/>
          <w:color w:val="000000"/>
          <w:sz w:val="20"/>
        </w:rPr>
      </w:pPr>
      <w:r>
        <w:rPr>
          <w:rFonts w:ascii="Times New Roman" w:hAnsi="Times New Roman"/>
          <w:i/>
          <w:color w:val="000000"/>
          <w:sz w:val="20"/>
        </w:rPr>
        <w:t>Principal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07421/000119380524000111/e619211_8k-at.htm" TargetMode="External"/><Relationship Id="rId3" Type="http://schemas.openxmlformats.org/officeDocument/2006/relationships/hyperlink" Target="https://www.sec.gov/Archives/edgar/data/1107421/000095017025053523/tcrt-ex3_1.htm" TargetMode="External"/><Relationship Id="rId4" Type="http://schemas.openxmlformats.org/officeDocument/2006/relationships/hyperlink" Target="https://www.sec.gov/Archives/edgar/data/1107421/000095017025090201/tcrt-ex3_1.htm" TargetMode="External"/><Relationship Id="rId5" Type="http://schemas.openxmlformats.org/officeDocument/2006/relationships/hyperlink" Target="https://www.sec.gov/Archives/edgar/data/1107421/000119312520250711/d42031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13209</Words>
  <Characters>73515</Characters>
  <CharactersWithSpaces>87610</CharactersWithSpaces>
  <Paragraphs>3609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