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100965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75" w:lineRule="auto"/>
        <w:tabs>
          <w:tab w:leader="none" w:pos="48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Alaunos Therapeutics, Inc.</w:t>
      </w:r>
    </w:p>
    <w:p>
      <w:pPr>
        <w:sectPr>
          <w:pgSz w:w="11900" w:h="16838" w:orient="portrait"/>
          <w:cols w:equalWidth="0" w:num="1">
            <w:col w:w="11240"/>
          </w:cols>
          <w:pgMar w:left="320" w:top="611"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Delaware</w:t>
      </w:r>
    </w:p>
    <w:p>
      <w:pPr>
        <w:spacing w:after="0" w:line="35"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line="237" w:lineRule="auto"/>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84-1475642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86" w:lineRule="exact"/>
        <w:rPr>
          <w:sz w:val="24"/>
          <w:szCs w:val="24"/>
          <w:color w:val="auto"/>
        </w:rPr>
      </w:pPr>
    </w:p>
    <w:p>
      <w:pPr>
        <w:sectPr>
          <w:pgSz w:w="11900" w:h="16838" w:orient="portrait"/>
          <w:cols w:equalWidth="0" w:num="2">
            <w:col w:w="7600" w:space="340"/>
            <w:col w:w="3300"/>
          </w:cols>
          <w:pgMar w:left="320" w:top="611"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8030 El Rio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TX 77054</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(346) 355-4099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170180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2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tcPr>
          <w:p>
            <w:pPr>
              <w:jc w:val="center"/>
              <w:spacing w:after="0"/>
              <w:rPr>
                <w:sz w:val="20"/>
                <w:szCs w:val="20"/>
                <w:color w:val="auto"/>
              </w:rPr>
            </w:pPr>
            <w:r>
              <w:rPr>
                <w:rFonts w:ascii="Arial" w:cs="Arial" w:eastAsia="Arial" w:hAnsi="Arial"/>
                <w:sz w:val="16"/>
                <w:szCs w:val="16"/>
                <w:color w:val="auto"/>
                <w:w w:val="93"/>
              </w:rPr>
              <w:t>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TCRT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jc w:val="both"/>
        <w:ind w:right="20" w:firstLine="599"/>
        <w:spacing w:after="0" w:line="21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ind w:right="100" w:firstLine="599"/>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jc w:val="both"/>
        <w:ind w:right="24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50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820"/>
        <w:spacing w:after="0" w:line="25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9, 2023, the number of outstanding shares of the registrant's common stock, $0.001 par value, was 240,627,055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“will” and other words and terms of similar meaning.</w:t>
      </w:r>
    </w:p>
    <w:p>
      <w:pPr>
        <w:spacing w:after="0" w:line="7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w:t>
      </w:r>
    </w:p>
    <w:p>
      <w:pPr>
        <w:spacing w:after="0" w:line="52"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implement our strategic reprioritization or realize any or all of the anticipated benefits once implemented;</w:t>
      </w:r>
    </w:p>
    <w:p>
      <w:pPr>
        <w:spacing w:after="0" w:line="128" w:lineRule="exact"/>
        <w:rPr>
          <w:rFonts w:ascii="Arial" w:cs="Arial" w:eastAsia="Arial" w:hAnsi="Arial"/>
          <w:sz w:val="17"/>
          <w:szCs w:val="17"/>
          <w:color w:val="auto"/>
        </w:rPr>
      </w:pPr>
    </w:p>
    <w:p>
      <w:pPr>
        <w:ind w:left="1020" w:right="4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substantial additional capital to continue as a going concern and fund our planned operations in the near term and our strategic reprioritization in the longer term;</w:t>
      </w:r>
    </w:p>
    <w:p>
      <w:pPr>
        <w:spacing w:after="0" w:line="61" w:lineRule="exact"/>
        <w:rPr>
          <w:rFonts w:ascii="Arial" w:cs="Arial" w:eastAsia="Arial" w:hAnsi="Arial"/>
          <w:sz w:val="18"/>
          <w:szCs w:val="18"/>
          <w:color w:val="auto"/>
        </w:rPr>
      </w:pPr>
    </w:p>
    <w:p>
      <w:pPr>
        <w:ind w:left="1020" w:right="4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consummate any strategic transactions, including, but not limited to, an acquisition, merger, reverse merger, sale of assets, strategic partnerships, capital raises or other transactions;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regarding our expenses, use of cash, timing of future cash needs and anticipated capital requirements;</w:t>
      </w:r>
    </w:p>
    <w:p>
      <w:pPr>
        <w:spacing w:after="0" w:line="116" w:lineRule="exact"/>
        <w:rPr>
          <w:rFonts w:ascii="Arial" w:cs="Arial" w:eastAsia="Arial" w:hAnsi="Arial"/>
          <w:sz w:val="18"/>
          <w:szCs w:val="18"/>
          <w:color w:val="auto"/>
        </w:rPr>
      </w:pPr>
    </w:p>
    <w:p>
      <w:pPr>
        <w:ind w:left="1020" w:right="3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to support our strategic reprioritization or out-license our intellectual property and to comply with our existing license agreements;</w:t>
      </w:r>
    </w:p>
    <w:p>
      <w:pPr>
        <w:spacing w:after="0" w:line="61" w:lineRule="exact"/>
        <w:rPr>
          <w:rFonts w:ascii="Arial" w:cs="Arial" w:eastAsia="Arial" w:hAnsi="Arial"/>
          <w:sz w:val="18"/>
          <w:szCs w:val="18"/>
          <w:color w:val="auto"/>
        </w:rPr>
      </w:pPr>
    </w:p>
    <w:p>
      <w:pPr>
        <w:ind w:left="1020" w:right="68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partnerships or strategic collaboration agreements and our ability to achieve the results and potential benefits contemplated from relationships with collaborators;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collaborations and licenses;</w:t>
      </w:r>
    </w:p>
    <w:p>
      <w:pPr>
        <w:spacing w:after="0" w:line="116" w:lineRule="exact"/>
        <w:rPr>
          <w:rFonts w:ascii="Arial" w:cs="Arial" w:eastAsia="Arial" w:hAnsi="Arial"/>
          <w:sz w:val="18"/>
          <w:szCs w:val="18"/>
          <w:color w:val="auto"/>
        </w:rPr>
      </w:pPr>
    </w:p>
    <w:p>
      <w:pPr>
        <w:ind w:left="1020" w:right="42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of developments and projections relating to competition from other pharmaceutical and biotechnology companies or our industry;</w:t>
      </w:r>
    </w:p>
    <w:p>
      <w:pPr>
        <w:spacing w:after="0" w:line="61" w:lineRule="exact"/>
        <w:rPr>
          <w:rFonts w:ascii="Arial" w:cs="Arial" w:eastAsia="Arial" w:hAnsi="Arial"/>
          <w:sz w:val="18"/>
          <w:szCs w:val="18"/>
          <w:color w:val="auto"/>
        </w:rPr>
      </w:pPr>
    </w:p>
    <w:p>
      <w:pPr>
        <w:ind w:left="1020" w:right="660" w:hanging="50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listed on the Nasdaq Capital Market;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strength and enforceability of our intellectual property rights.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the context requires otherwise, references in this Quarterly Report to “Alaunos,” the “Company,” “we,” “us” or “our” refer to Alaunos Therapeutics, Inc.</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OF SELECTED RISKS ASSOCIATED WITH OUR BUSINESS</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Some of the more significant risks include the following:</w:t>
      </w:r>
    </w:p>
    <w:p>
      <w:pPr>
        <w:spacing w:after="0" w:line="75" w:lineRule="exact"/>
        <w:rPr>
          <w:sz w:val="20"/>
          <w:szCs w:val="20"/>
          <w:color w:val="auto"/>
        </w:rPr>
      </w:pPr>
    </w:p>
    <w:p>
      <w:pPr>
        <w:ind w:left="1020" w:right="66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strategic reprioritization may not be successful, may not yield the desired results and we may be unsuccessful in identifying and implementing any strategic transaction.</w:t>
      </w:r>
    </w:p>
    <w:p>
      <w:pPr>
        <w:spacing w:after="0" w:line="61" w:lineRule="exact"/>
        <w:rPr>
          <w:rFonts w:ascii="Arial" w:cs="Arial" w:eastAsia="Arial" w:hAnsi="Arial"/>
          <w:sz w:val="18"/>
          <w:szCs w:val="18"/>
          <w:color w:val="auto"/>
        </w:rPr>
      </w:pPr>
    </w:p>
    <w:p>
      <w:pPr>
        <w:ind w:left="1020" w:right="140" w:hanging="504"/>
        <w:spacing w:after="0" w:line="307"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successfully consummate a transaction from our strategic assessment, we may fail to realize all of the anticipated benefits of the transaction, those benefits may take longer to realize than expected, or we may encounter integration difficulties.</w:t>
      </w:r>
    </w:p>
    <w:p>
      <w:pPr>
        <w:spacing w:after="0" w:line="39" w:lineRule="exact"/>
        <w:rPr>
          <w:rFonts w:ascii="Arial" w:cs="Arial" w:eastAsia="Arial" w:hAnsi="Arial"/>
          <w:sz w:val="17"/>
          <w:szCs w:val="17"/>
          <w:color w:val="auto"/>
        </w:rPr>
      </w:pPr>
    </w:p>
    <w:p>
      <w:pPr>
        <w:ind w:left="1020" w:hanging="504"/>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 strategic transaction is not consummated,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74" w:lineRule="exact"/>
        <w:rPr>
          <w:rFonts w:ascii="Arial" w:cs="Arial" w:eastAsia="Arial" w:hAnsi="Arial"/>
          <w:sz w:val="18"/>
          <w:szCs w:val="18"/>
          <w:color w:val="auto"/>
        </w:rPr>
      </w:pPr>
    </w:p>
    <w:p>
      <w:pPr>
        <w:ind w:left="1020" w:right="6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require substantial additional financial resources to continue as a going concern, including through the strategic review process, and if we raise additional funds it may affect the value of your investment in our common stock.</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consummate a strategic transaction depends on our ability to retain our remaining employees.</w:t>
      </w:r>
    </w:p>
    <w:p>
      <w:pPr>
        <w:spacing w:after="0" w:line="116" w:lineRule="exact"/>
        <w:rPr>
          <w:rFonts w:ascii="Arial" w:cs="Arial" w:eastAsia="Arial" w:hAnsi="Arial"/>
          <w:sz w:val="18"/>
          <w:szCs w:val="18"/>
          <w:color w:val="auto"/>
        </w:rPr>
      </w:pPr>
    </w:p>
    <w:p>
      <w:pPr>
        <w:ind w:left="1020" w:right="34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involved in litigation, including securities class action litigation, that could divert management’s attention and harm our business, and insurance coverage may not be sufficient to cover all costs and damages.</w:t>
      </w:r>
    </w:p>
    <w:p>
      <w:pPr>
        <w:spacing w:after="0" w:line="61" w:lineRule="exact"/>
        <w:rPr>
          <w:rFonts w:ascii="Arial" w:cs="Arial" w:eastAsia="Arial" w:hAnsi="Arial"/>
          <w:sz w:val="18"/>
          <w:szCs w:val="18"/>
          <w:color w:val="auto"/>
        </w:rPr>
      </w:pPr>
    </w:p>
    <w:p>
      <w:pPr>
        <w:ind w:left="1020" w:right="20" w:hanging="504"/>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halted development of our product candidates very early in our development efforts. Our most advanced product candidates were only in an early-stage clinical trial, which is very expensive and time-consuming. We cannot be certain if or when we will be able to submit a Biologics License Application, or BLA, to the U.S. Food and Drug Administration, or the FDA, and the delay, or any failure, in completing clinical trials for our product candidates could harm our business.</w:t>
      </w:r>
    </w:p>
    <w:p>
      <w:pPr>
        <w:spacing w:after="0" w:line="77" w:lineRule="exact"/>
        <w:rPr>
          <w:rFonts w:ascii="Arial" w:cs="Arial" w:eastAsia="Arial" w:hAnsi="Arial"/>
          <w:sz w:val="18"/>
          <w:szCs w:val="18"/>
          <w:color w:val="auto"/>
        </w:rPr>
      </w:pPr>
    </w:p>
    <w:p>
      <w:pPr>
        <w:ind w:left="1020" w:hanging="504"/>
        <w:spacing w:after="0" w:line="307"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39" w:lineRule="exact"/>
        <w:rPr>
          <w:rFonts w:ascii="Arial" w:cs="Arial" w:eastAsia="Arial" w:hAnsi="Arial"/>
          <w:sz w:val="17"/>
          <w:szCs w:val="17"/>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has been, and may continue to be, volatile.</w:t>
      </w:r>
    </w:p>
    <w:p>
      <w:pPr>
        <w:spacing w:after="0" w:line="116" w:lineRule="exact"/>
        <w:rPr>
          <w:rFonts w:ascii="Arial" w:cs="Arial" w:eastAsia="Arial" w:hAnsi="Arial"/>
          <w:sz w:val="18"/>
          <w:szCs w:val="18"/>
          <w:color w:val="auto"/>
        </w:rPr>
      </w:pPr>
    </w:p>
    <w:p>
      <w:pPr>
        <w:ind w:left="1020" w:right="50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received a Delisting Determination from Nasdaq. Delisting could prevent us from maintaining an active, liquid and orderly trading market for our common stock and may impact our ability to consummate certain strategic transactions.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effect a reverse stock split of our common stock, but it may not result in us obtaining the intended benefits.</w:t>
      </w:r>
    </w:p>
    <w:p>
      <w:pPr>
        <w:spacing w:after="0" w:line="116"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may make an acquisition of us, which may be beneficial to our stockholders, more difficult.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4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0"/>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Pr>
          <w:p>
            <w:pPr>
              <w:spacing w:after="0"/>
              <w:rPr>
                <w:sz w:val="24"/>
                <w:szCs w:val="24"/>
                <w:color w:val="auto"/>
              </w:rPr>
            </w:pPr>
          </w:p>
        </w:tc>
      </w:tr>
      <w:tr>
        <w:trPr>
          <w:trHeight w:val="418"/>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20"/>
          </w:tcPr>
          <w:p>
            <w:pPr>
              <w:spacing w:after="0"/>
              <w:rPr>
                <w:sz w:val="20"/>
                <w:szCs w:val="20"/>
                <w:color w:val="auto"/>
              </w:rPr>
            </w:pPr>
            <w:r>
              <w:rPr>
                <w:rFonts w:ascii="Arial" w:cs="Arial" w:eastAsia="Arial" w:hAnsi="Arial"/>
                <w:sz w:val="18"/>
                <w:szCs w:val="18"/>
                <w:color w:val="0000FF"/>
              </w:rPr>
              <w:t>Condensed 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6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Balance Sheets as of September 30, 2023 (unaudited) and December 31, 2022</w:t>
            </w:r>
          </w:p>
        </w:tc>
        <w:tc>
          <w:tcPr>
            <w:tcW w:w="20" w:type="dxa"/>
            <w:vAlign w:val="bottom"/>
            <w:tcBorders>
              <w:bottom w:val="single" w:sz="8" w:color="0000EE"/>
            </w:tcBorders>
          </w:tcPr>
          <w:p>
            <w:pPr>
              <w:spacing w:after="0"/>
              <w:rPr>
                <w:sz w:val="18"/>
                <w:szCs w:val="18"/>
                <w:color w:val="auto"/>
              </w:rPr>
            </w:pPr>
          </w:p>
        </w:tc>
        <w:tc>
          <w:tcPr>
            <w:tcW w:w="28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116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Arial" w:cs="Arial" w:eastAsia="Arial" w:hAnsi="Arial"/>
                <w:sz w:val="18"/>
                <w:szCs w:val="18"/>
                <w:color w:val="0000FF"/>
                <w:w w:val="98"/>
              </w:rPr>
              <w:t>Condensed Statements of Operations for the three and nine months ended September 30, 2023 and 2022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1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Condensed Statements of Changes in Stockholders’ Equity for the three and nine months ended September 30, 2023 and 2022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160" w:type="dxa"/>
            <w:vAlign w:val="bottom"/>
          </w:tcPr>
          <w:p>
            <w:pPr>
              <w:spacing w:after="0"/>
              <w:rPr>
                <w:sz w:val="17"/>
                <w:szCs w:val="17"/>
                <w:color w:val="auto"/>
              </w:rPr>
            </w:pPr>
          </w:p>
        </w:tc>
        <w:tc>
          <w:tcPr>
            <w:tcW w:w="84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0"/>
              </w:rPr>
              <w:t>(unaudited)</w:t>
            </w:r>
          </w:p>
        </w:tc>
        <w:tc>
          <w:tcPr>
            <w:tcW w:w="8460" w:type="dxa"/>
            <w:vAlign w:val="bottom"/>
            <w:gridSpan w:val="18"/>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r>
      <w:tr>
        <w:trPr>
          <w:trHeight w:val="209"/>
        </w:trPr>
        <w:tc>
          <w:tcPr>
            <w:tcW w:w="1160" w:type="dxa"/>
            <w:vAlign w:val="bottom"/>
          </w:tcPr>
          <w:p>
            <w:pPr>
              <w:spacing w:after="0"/>
              <w:rPr>
                <w:sz w:val="18"/>
                <w:szCs w:val="18"/>
                <w:color w:val="auto"/>
              </w:rPr>
            </w:pPr>
          </w:p>
        </w:tc>
        <w:tc>
          <w:tcPr>
            <w:tcW w:w="77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8"/>
              </w:rPr>
              <w:t>Condensed Statements of Cash Flows for the nine months ended September 30, 2023 and 2022 (unaudited)</w:t>
            </w:r>
          </w:p>
        </w:tc>
        <w:tc>
          <w:tcPr>
            <w:tcW w:w="15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1160" w:type="dxa"/>
            <w:vAlign w:val="bottom"/>
          </w:tcPr>
          <w:p>
            <w:pPr>
              <w:spacing w:after="0"/>
              <w:rPr>
                <w:sz w:val="18"/>
                <w:szCs w:val="18"/>
                <w:color w:val="auto"/>
              </w:rPr>
            </w:pPr>
          </w:p>
        </w:tc>
        <w:tc>
          <w:tcPr>
            <w:tcW w:w="38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Notes to Condensed Financial Statements (unaudited)</w:t>
            </w:r>
          </w:p>
        </w:tc>
        <w:tc>
          <w:tcPr>
            <w:tcW w:w="20" w:type="dxa"/>
            <w:vAlign w:val="bottom"/>
            <w:tcBorders>
              <w:bottom w:val="single" w:sz="8" w:color="0000EE"/>
            </w:tcBorders>
          </w:tcPr>
          <w:p>
            <w:pPr>
              <w:spacing w:after="0"/>
              <w:rPr>
                <w:sz w:val="18"/>
                <w:szCs w:val="18"/>
                <w:color w:val="auto"/>
              </w:rPr>
            </w:pPr>
          </w:p>
        </w:tc>
        <w:tc>
          <w:tcPr>
            <w:tcW w:w="54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64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Management’s Discussion and Analysis of Financial Condition and Results of Operations</w:t>
            </w:r>
          </w:p>
        </w:tc>
        <w:tc>
          <w:tcPr>
            <w:tcW w:w="28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00" w:type="dxa"/>
            <w:vAlign w:val="bottom"/>
            <w:tcBorders>
              <w:top w:val="single" w:sz="8" w:color="0000FF"/>
            </w:tcBorders>
            <w:gridSpan w:val="5"/>
          </w:tcPr>
          <w:p>
            <w:pPr>
              <w:spacing w:after="0"/>
              <w:rPr>
                <w:sz w:val="18"/>
                <w:szCs w:val="18"/>
                <w:color w:val="auto"/>
              </w:rPr>
            </w:pPr>
          </w:p>
        </w:tc>
        <w:tc>
          <w:tcPr>
            <w:tcW w:w="50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0"/>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r>
      <w:tr>
        <w:trPr>
          <w:trHeight w:val="418"/>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Legal Proceedings</w:t>
            </w:r>
          </w:p>
        </w:tc>
        <w:tc>
          <w:tcPr>
            <w:tcW w:w="796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93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Defaults Upon Senior Securities</w:t>
            </w:r>
          </w:p>
        </w:tc>
        <w:tc>
          <w:tcPr>
            <w:tcW w:w="4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18"/>
                <w:szCs w:val="18"/>
                <w:color w:val="auto"/>
              </w:rPr>
            </w:pPr>
          </w:p>
        </w:tc>
        <w:tc>
          <w:tcPr>
            <w:tcW w:w="69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Other Information</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662"/>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60" w:type="dxa"/>
            <w:vAlign w:val="bottom"/>
            <w:gridSpan w:val="14"/>
          </w:tcPr>
          <w:p>
            <w:pPr>
              <w:jc w:val="right"/>
              <w:ind w:right="196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1"/>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Condensed Financial Statements</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8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11,944</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9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19,440</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64,937</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Lease liabilities, current</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Lease liabilities, non-current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26,382</w:t>
            </w:r>
          </w:p>
        </w:tc>
        <w:tc>
          <w:tcPr>
            <w:tcW w:w="100" w:type="dxa"/>
            <w:vAlign w:val="bottom"/>
            <w:tcBorders>
              <w:top w:val="single" w:sz="8" w:color="CFF0FC"/>
            </w:tcBorders>
          </w:tcPr>
          <w:p>
            <w:pPr>
              <w:spacing w:after="0"/>
              <w:rPr>
                <w:sz w:val="20"/>
                <w:szCs w:val="20"/>
                <w:color w:val="auto"/>
              </w:rPr>
            </w:pP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Common stock $0.001 par value; 520,000,000 shares authorized, 240,627,055 shares issued and</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0"/>
              </w:rPr>
              <w:t>outstanding at September 30, 2023 and 420,000,000 shares authorized, 240,410,761 shares issued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at December 31, 2022</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921,583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918,942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(907,924 )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(880,627 )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13,900</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38,555</w:t>
            </w:r>
          </w:p>
        </w:tc>
        <w:tc>
          <w:tcPr>
            <w:tcW w:w="100" w:type="dxa"/>
            <w:vAlign w:val="bottom"/>
            <w:tcBorders>
              <w:top w:val="single" w:sz="8" w:color="CFF0FC"/>
            </w:tcBorders>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-3304540</wp:posOffset>
            </wp:positionV>
            <wp:extent cx="76835" cy="342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34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-1566545</wp:posOffset>
            </wp:positionV>
            <wp:extent cx="768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768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0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8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 September</w:t>
            </w: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For the Nine Months Ended September</w:t>
            </w:r>
          </w:p>
        </w:tc>
      </w:tr>
      <w:tr>
        <w:trPr>
          <w:trHeight w:val="185"/>
        </w:trPr>
        <w:tc>
          <w:tcPr>
            <w:tcW w:w="5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9,791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lease modification</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(133 )</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and right-of-use asset impairment</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58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8,664</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11,175</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26,322</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29,495</w:t>
            </w:r>
          </w:p>
        </w:tc>
        <w:tc>
          <w:tcPr>
            <w:tcW w:w="100" w:type="dxa"/>
            <w:vAlign w:val="bottom"/>
            <w:tcBorders>
              <w:top w:val="single" w:sz="8" w:color="CFF0FC"/>
            </w:tcBorders>
          </w:tcPr>
          <w:p>
            <w:pPr>
              <w:spacing w:after="0"/>
              <w:rPr>
                <w:sz w:val="20"/>
                <w:szCs w:val="20"/>
                <w:color w:val="auto"/>
              </w:rPr>
            </w:pPr>
          </w:p>
        </w:tc>
      </w:tr>
      <w:tr>
        <w:trPr>
          <w:trHeight w:val="242"/>
        </w:trPr>
        <w:tc>
          <w:tcPr>
            <w:tcW w:w="5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(841 )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(1,921 )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(2,266 )</w:t>
            </w:r>
          </w:p>
        </w:tc>
      </w:tr>
      <w:tr>
        <w:trPr>
          <w:trHeight w:val="236"/>
        </w:trPr>
        <w:tc>
          <w:tcPr>
            <w:tcW w:w="5840" w:type="dxa"/>
            <w:vAlign w:val="bottom"/>
          </w:tcPr>
          <w:p>
            <w:pPr>
              <w:ind w:left="56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r>
      <w:tr>
        <w:trPr>
          <w:trHeight w:val="23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(8,476 )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(8,851 )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(27,297 )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(28,571 )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share</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584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 basic and diluted</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240,046,026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215,098,995</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239,842,327</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215,015,377</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-2414270</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-2414270</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-2414270</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-1480820</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-1480820</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-1480820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-530225</wp:posOffset>
            </wp:positionV>
            <wp:extent cx="7683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-530225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-530225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-205105</wp:posOffset>
            </wp:positionV>
            <wp:extent cx="269684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6845" cy="20574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For the Three Months Ended September 30, 2023</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240,627,055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920,857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(899,448 )</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(8,476 )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(8,476 )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080" w:type="dxa"/>
            <w:vAlign w:val="bottom"/>
          </w:tcPr>
          <w:p>
            <w:pPr>
              <w:jc w:val="right"/>
              <w:spacing w:after="0"/>
              <w:rPr>
                <w:sz w:val="20"/>
                <w:szCs w:val="20"/>
                <w:color w:val="auto"/>
              </w:rPr>
            </w:pPr>
            <w:r>
              <w:rPr>
                <w:rFonts w:ascii="Arial" w:cs="Arial" w:eastAsia="Arial" w:hAnsi="Arial"/>
                <w:sz w:val="18"/>
                <w:szCs w:val="18"/>
                <w:color w:val="auto"/>
              </w:rPr>
              <w:t>240,627,055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921,583</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(907,924 )</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For the Nine Months Ended September 30, 2023</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240,410,761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918,942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(880,627 )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net of expenses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(27,297 )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(27,297 )</w:t>
            </w:r>
          </w:p>
        </w:tc>
        <w:tc>
          <w:tcPr>
            <w:tcW w:w="0" w:type="dxa"/>
            <w:vAlign w:val="bottom"/>
          </w:tcPr>
          <w:p>
            <w:pPr>
              <w:spacing w:after="0"/>
              <w:rPr>
                <w:sz w:val="1"/>
                <w:szCs w:val="1"/>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2023</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240,627,055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921,583</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(907,924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260"/>
        <w:spacing w:after="0"/>
        <w:rPr>
          <w:sz w:val="20"/>
          <w:szCs w:val="20"/>
          <w:color w:val="auto"/>
        </w:rPr>
      </w:pPr>
      <w:r>
        <w:rPr>
          <w:rFonts w:ascii="Arial" w:cs="Arial" w:eastAsia="Arial" w:hAnsi="Arial"/>
          <w:sz w:val="20"/>
          <w:szCs w:val="20"/>
          <w:b w:val="1"/>
          <w:bCs w:val="1"/>
          <w:u w:val="single" w:color="auto"/>
          <w:color w:val="auto"/>
        </w:rPr>
        <w:t>For the Three Months Ended September 30, 2022</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June 30,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216,174,542</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902,536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(862,572 )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employee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(18,750 )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(8,851 )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(8,851 )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216,182,042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903,365</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(871,468 )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20"/>
          <w:szCs w:val="20"/>
          <w:b w:val="1"/>
          <w:bCs w:val="1"/>
          <w:u w:val="single" w:color="auto"/>
          <w:color w:val="auto"/>
        </w:rPr>
        <w:t>For the Nine Months Ended September 30, 2022</w:t>
      </w: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w:t>
            </w:r>
          </w:p>
        </w:tc>
        <w:tc>
          <w:tcPr>
            <w:tcW w:w="220" w:type="dxa"/>
            <w:vAlign w:val="bottom"/>
          </w:tcPr>
          <w:p>
            <w:pPr>
              <w:spacing w:after="0"/>
              <w:rPr>
                <w:sz w:val="14"/>
                <w:szCs w:val="14"/>
                <w:color w:val="auto"/>
              </w:rPr>
            </w:pPr>
          </w:p>
        </w:tc>
        <w:tc>
          <w:tcPr>
            <w:tcW w:w="12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320" w:type="dxa"/>
            <w:vAlign w:val="bottom"/>
            <w:gridSpan w:val="4"/>
            <w:vMerge w:val="restart"/>
          </w:tcPr>
          <w:p>
            <w:pPr>
              <w:jc w:val="right"/>
              <w:ind w:right="61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232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216,127,443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900,693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(842,852 )</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Cancelled restricted common stock</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(232,901 )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employee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(18,750 )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(45 )</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(28,571 )</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(28,571 )</w:t>
            </w:r>
          </w:p>
        </w:tc>
        <w:tc>
          <w:tcPr>
            <w:tcW w:w="0" w:type="dxa"/>
            <w:vAlign w:val="bottom"/>
          </w:tcPr>
          <w:p>
            <w:pPr>
              <w:spacing w:after="0"/>
              <w:rPr>
                <w:sz w:val="1"/>
                <w:szCs w:val="1"/>
                <w:color w:val="auto"/>
              </w:rPr>
            </w:pPr>
          </w:p>
        </w:tc>
      </w:tr>
      <w:tr>
        <w:trPr>
          <w:trHeight w:val="20"/>
        </w:trPr>
        <w:tc>
          <w:tcPr>
            <w:tcW w:w="5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080" w:type="dxa"/>
            <w:vAlign w:val="bottom"/>
          </w:tcPr>
          <w:p>
            <w:pPr>
              <w:jc w:val="right"/>
              <w:spacing w:after="0"/>
              <w:rPr>
                <w:sz w:val="20"/>
                <w:szCs w:val="20"/>
                <w:color w:val="auto"/>
              </w:rPr>
            </w:pPr>
            <w:r>
              <w:rPr>
                <w:rFonts w:ascii="Arial" w:cs="Arial" w:eastAsia="Arial" w:hAnsi="Arial"/>
                <w:sz w:val="18"/>
                <w:szCs w:val="18"/>
                <w:color w:val="auto"/>
              </w:rPr>
              <w:t>216,182,042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903,365</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(871,468 )</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 w:name="page9"/>
    <w:bookmarkEnd w:id="8"/>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0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0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77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(27,297 )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(28,571 )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and equipment right-of-use asset impairment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Amortization of financing costs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Decrease in the carrying amount of right-of-use assets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lease modification</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(245 )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(133 )</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Loss on disposal of equipment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(Increase) decrease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(1,800 )</w:t>
            </w: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(126 )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Increase (decrease) in:</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(92 )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(2,258 )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Lease liabilities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(1,575 )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(2,371 )</w:t>
            </w: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Other non-current liabilities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(28 )</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(22,757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(197 )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the disposal of property and equipment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the exercise of stock options</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 of common stock</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(18,105 )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(2,083 )</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extinguishment costs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(125 )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(18,138 )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(2,107 )</w:t>
            </w:r>
          </w:p>
        </w:tc>
      </w:tr>
      <w:tr>
        <w:trPr>
          <w:trHeight w:val="24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(41,052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52,996</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11,944</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Amounts included in accounts payable and accrued expenses related to property and equipment</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-2747645</wp:posOffset>
            </wp:positionV>
            <wp:extent cx="7683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-2114550</wp:posOffset>
            </wp:positionV>
            <wp:extent cx="7683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-2114550</wp:posOffset>
            </wp:positionV>
            <wp:extent cx="685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-1181100</wp:posOffset>
            </wp:positionV>
            <wp:extent cx="7683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-538480</wp:posOffset>
            </wp:positionV>
            <wp:extent cx="123317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-205105</wp:posOffset>
            </wp:positionV>
            <wp:extent cx="123317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3170" cy="205740"/>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Alaunos Therapeutics, Inc., which is referred to herein as “Alaunos,” or the “Company,” is a clinical-stage oncology-focused cell therapy company that was historically involved in the development of adoptive TCR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gene transfer platform and its novel cancer mutation hotspot TCR library to design and manufacture personalized cell therapies that target neoantigens arising from common tumor-related mutations in key oncogenic genes, including </w:t>
      </w:r>
      <w:r>
        <w:rPr>
          <w:rFonts w:ascii="Arial" w:cs="Arial" w:eastAsia="Arial" w:hAnsi="Arial"/>
          <w:sz w:val="18"/>
          <w:szCs w:val="18"/>
          <w:i w:val="1"/>
          <w:iCs w:val="1"/>
          <w:color w:val="auto"/>
        </w:rPr>
        <w:t>KRAS,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TP53 </w:t>
      </w:r>
      <w:r>
        <w:rPr>
          <w:rFonts w:ascii="Arial" w:cs="Arial" w:eastAsia="Arial" w:hAnsi="Arial"/>
          <w:sz w:val="18"/>
          <w:szCs w:val="18"/>
          <w:color w:val="auto"/>
        </w:rPr>
        <w:t>and</w:t>
      </w:r>
      <w:r>
        <w:rPr>
          <w:rFonts w:ascii="Arial" w:cs="Arial" w:eastAsia="Arial" w:hAnsi="Arial"/>
          <w:sz w:val="18"/>
          <w:szCs w:val="18"/>
          <w:i w:val="1"/>
          <w:iCs w:val="1"/>
          <w:color w:val="auto"/>
        </w:rPr>
        <w:t xml:space="preserve"> EGFR.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 to fund those efforts.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August 14, 2023, the Company announced a strategic reprioritization of its business and wind down of its TCR-T Library Phase 1/2 Trial. In connection with the reprioritization, the Company has reduced its workforce by approximately 80% to date and continues working to reduce costs in order to extend its cash runway. The Company continues to explore strategic alternatives, including, but not limited to, an acquisition, merger, reverse merger, sale of assets, strategic partnerships, capital raises or other transactions. The Company has engaged Cantor Fitzgerald &amp; Co., or Cantor, to act as strategic advisor for this process.</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2023, there were 240,627,055 shares of common stock outstanding and an additional 35,339,371 shares of common stock reserved for issuance pursuant to outstanding stock options and warrants.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condensed financial statements have been prepared on a going concern basis, which contemplates the realization of assets and satisfaction of liabilities and commitments in the normal course of business. The Company follows the guidance of Accounting Standards Codification, or ASC, Topic 205-40, Presentation of Financial Statements - Going Concern, in order to determine whether there is substantial doubt about its ability to continue as a going concern for one year after the date its condensed financial statements are issued. This evaluation initially does not take into consideration the potential mitigating effect of management's plans that have not been fully implemented as of the date the condensed financial statements are issued.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condensed financial statements are issued and (ii) it is probable that the plans, when implemented, will mitigate the relevant conditions or events that raise substantial doubt about the entity's ability to continue as a going concern within one year after the date that the condensed financial statements are issued.</w:t>
      </w:r>
    </w:p>
    <w:p>
      <w:pPr>
        <w:spacing w:after="0" w:line="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has operated at a loss since its inception in 2003 and has no recurring revenue from operations. The Company anticipates that losses will continue for the foreseeable future. As of September 30, 2023, the Company had approximately $11.9 million of cash and cash equivalents. The Company’s accumulated deficit at September 30, 2023 was approximately $907.9 million. Given its current development plans and cash management efforts, the Company anticipates cash resources will be sufficient to fund operations into the second quarter of 2024. The Company’s ability to continue operations after its current cash resources are exhausted depends on future events outside of the Company's control, including its ability to obtain additional financing or to achieve profitable results, as to which no assurances can be given. If adequate additional funds are not available when required, or if the Company is unsuccessful in entering into partnership agreements for further development of its product candidates, management may need to curtail its development efforts and planned operations to conserve cash until sufficient additional capital is raised. There can be no assurances that such a plan would be successful.</w:t>
      </w:r>
    </w:p>
    <w:p>
      <w:pPr>
        <w:spacing w:after="0" w:line="5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condensed financial statements, and substantial doubt as to the Company's ability to continue as a going concern exists. This forecast of cash resources is forward-looking information that involves risks and uncertainties, and the actual amount of expenses could vary materially and adversely as a result of a number of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unaudited interim condensed financial statements have been prepared in accordance with the instructions to Form 10-Q pursuant to the rules and regulations of the Securities and Exchange Commission, or the SEC. Certain information and note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disclosures required by generally accepted accounting principles in the United States, or GAAP, have been condensed or omitted pursuant to such rules and regulations.</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 is management’s opinion that the accompanying unaudited interim condensed financial statements reflect all adjustments (which are normal and recurring) that are necessary for a fair presentation of the financial position of the Company and its results of operations and cash flows for the periods presented. The unaudited interim condensed financial statements should be read in conjunction with the audited financial statements and the notes thereto for the year ended December 31, 2022, included in the Company’s Annual Report on Form 10-K for the fiscal year ended December 31, 2022 filed with the SEC on March 7, 2023, or the Annual Report.</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results disclosed in the statements of operations for the three and nine months ended September 30, 2023 are not necessarily indicative of the results to be expected for the full fiscal year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 preparation of condensed financial statements in conformity with GAAP requires management to make estimates and assumptions that affect the reported amounts of assets and liabilities and the disclosure of contingent assets and liabilities at the date of the condensed financial statements and the reported amounts of revenues and expenses during the reporting period. Although the Company regularly assesses these estimates, actual results could differ from those estimates. Changes in estimates are recorded in the period in which they become known.</w:t>
      </w:r>
    </w:p>
    <w:p>
      <w:pPr>
        <w:spacing w:after="0" w:line="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accrued expenses represent estimates of activity and costs incurred with vendors and counterparties. During the three and nine months ended September 30, 2023, the Company revised estimated accrued expenses related to de-prioritized clinical programs based on new information received from vendors. As a result, a $0.3 million credit has been recorded in research and development expense within the condensed statement of operations for the three months ended September 30, 2023, and a $1.0 million credit has been recorded for the nine months ended September 30, 2023.</w:t>
      </w:r>
    </w:p>
    <w:p>
      <w:pPr>
        <w:spacing w:after="0" w:line="15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Loan and Security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6, 2021, the Company entered into a Loan and Security Agreement, or the Loan and Security Agreement, with Silicon Valley Bank and affiliates of Silicon Valley Bank, or collectively, SVB. The Loan and Security Agreement provided for an initial term loan of $25.0 million funded at the closing, or the Term A Tranche, with an additional tranche of $25.0 million available if certain funding and clinical milestones were met by August 31, 2022, or the Term B Tranche.</w:t>
      </w:r>
    </w:p>
    <w:p>
      <w:pPr>
        <w:spacing w:after="0" w:line="7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Effective December 28, 2021, the Company, entered into an amendment to the Loan and Security Agreement, or the First Amendment. The First Amendment extended the interest-only period through August 31, 2022. The First Amendment also eliminated the Term B Tranche, which remained unfunded, leaving only the Term A Tranche, or the SVB Facility. Under the amended Loan and Security Agreement, the SVB Facility was to mature on August 1, 2023. On May 1, 2023, the Company repaid its outstanding debt obligations under the amended Loan and Security Agreement in their entirety.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further discussion of the Loan and Security Agreement and the First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Equity Distribution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12, 2022, the Company entered into an Equity Distribution Agreement, or the Equity Distribution Agreement, with Piper Sandler &amp; Co., or Piper Sandler, pursuant to which the Company can offer and sell, from time to time at its sole discretion, shares of its common stock having an aggregate offering price of up to $50.0 million through Piper Sandler as its sales agent in an "at the market offering." Piper Sandler will receive a commission of 3.0% of the gross proceeds of any common stock sold under the Equity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Distribution Agreement. During the three and nine months ended September 30, 2023, there have been no sales of the Company's common stock under the Equity Distribution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Public Offering</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November 29, 2022, the Company entered into an underwriting agreement, or the Underwriting Agreement, with Cantor as the sole underwriter, relating to the issuance and sale in an underwritten offering, or the Offering, of 24,228,719 shares, or the Firm Shares, of the Company’s common stock to Cantor at a price of $0.6191 per share.</w:t>
      </w:r>
    </w:p>
    <w:p>
      <w:pPr>
        <w:spacing w:after="0" w:line="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net proceeds to the Company from the Offering were $14.7 million (before accounting for the partial exercise of Cantor's option as described below) after deducting underwriting discounts and commissions and offering expenses payable by the Company.</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Under the terms of the Underwriting Agreement, the Company granted Cantor an option, exercisable for 30 days, to purchase up to an additional 3,634,307 shares of common stock, which we refer to, together with the Firm Shares, as the Shares, at the same price per share as the Firm Shares. On January 5, 2023, Cantor partially exercised its option to purchase an additional 216,294 shares of common stock.</w:t>
      </w:r>
    </w:p>
    <w:p>
      <w:pPr>
        <w:spacing w:after="0" w:line="17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significant accounting policies were identified in the Company’s Annual Report. There have been no material changes in those policies since the filing of its Annual Report.</w:t>
      </w:r>
    </w:p>
    <w:p>
      <w:pPr>
        <w:spacing w:after="0" w:line="16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the Company's debt obligation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Loan and Security Agreement</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Unamortized discount on Loan and Security Agreement</w:t>
            </w:r>
          </w:p>
        </w:tc>
        <w:tc>
          <w:tcPr>
            <w:tcW w:w="13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(630 )</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debt</w:t>
            </w:r>
          </w:p>
        </w:tc>
        <w:tc>
          <w:tcPr>
            <w:tcW w:w="1300" w:type="dxa"/>
            <w:vAlign w:val="bottom"/>
            <w:tcBorders>
              <w:top w:val="single" w:sz="8" w:color="auto"/>
              <w:bottom w:val="single" w:sz="8" w:color="auto"/>
            </w:tcBorders>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August 6, 2021, the Company entered into the Loan and Security Agreement with SVB. The Loan and Security Agreement provided for the funding of the Term A Tranche at the closing, with the Term B Tranche available if certain funding and clinical milestones were met by August 31, 2022. The SVB Facility and related obligations under the Loan and Security Agreement were secured by substantially all of the Company's properties, rights and assets, except for its intellectual property (which was subject to a negative pledge under the Loan and Security Agreement). In addition, the Loan and Security Agreement contained customary representations, warranties, events of default and covenants.</w:t>
      </w:r>
    </w:p>
    <w:p>
      <w:pPr>
        <w:spacing w:after="0" w:line="6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December 28, 2021, the Company entered into the First Amendment to the Loan and Security Agreement. The First Amendment eliminated the unfunded Term B Tranche, among other things. The SVB Facility bore interest at a floating rate per annum on outstanding loans, payable monthly, at the greater of (a) 7.75% and (b) the current published U.S. prime rate, plus a margin of 4.5%.</w:t>
      </w:r>
    </w:p>
    <w:p>
      <w:pPr>
        <w:spacing w:after="0" w:line="7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All outstanding obligations under the amended Loan and Security Agreement were due and payable on August 1, 2023. In connection with the payment of all of the Company's outstanding obligations, the Company also owed SVB 5.75% of the original principal amounts borrowed as a final payment, or the Final Payment. Effective March 30, 2023, the Company entered into a Third Amendment to the Loan and Security Agreement, or the Third Amendment. Under the terms of the Third Amendment, the Company was no longer required to maintain all of its operating accounts, depository accounts and excess cash with SVB or one of its affiliates, and was instead only required to maintain a single operating or depository account at Silicon Valley Bank. The Third Amendment also modified the cash collateralization requirement, such that the Company was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May 1, 2023, the Company paid SVB an amount equal to the entire outstanding principal amount under the SVB Facility, all accrued and unpaid interest and the Final Payment. In accordance with the First Amendment, the payment was subject to a prepayment premium of 2.00%. During the second quarter of 2023, the Company recorded the remaining amounts associated with the Final Payment of $0.5 million and the prepayment premium of $0.1 million as interest expense within the condensed statement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its entry into the Loan and Security Agreement in August 2021, the Company issued to SVB warrants to purchase (i) up to 432,844 shares of the Company’s common stock, in the aggregate, and (ii) up to an additional 432,842 shares of common stock, in the aggregate, in the event the Company achieved certain clinical milestones, in each case at an exercise price per share of $2.22.</w:t>
      </w:r>
    </w:p>
    <w:p>
      <w:pPr>
        <w:spacing w:after="0" w:line="7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its entry into the First Amendment in December 2021, the Company amended and restated the warrants issued to SVB. As amended and restated, the warrants are for up to 649,615 shares of the Company's common stock, in the aggregate, with an exercise price of $1.16 per share, or the SVB Warrants. The SVB Warrants expire on August 6, 2031.</w:t>
      </w:r>
    </w:p>
    <w:p>
      <w:pPr>
        <w:spacing w:after="0" w:line="7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issuance costs for the Loan and Security Agreement, including the First Amendment, were approximately $1.2 million and primarily related to the issuance of the SVB Warrants, which were amortized into interest expense over the term of the loan. Interest expense, including the amortization of issuance costs, was $0 for the three months ended September 30, 2023 and was $1.9 million for the nine months ended September 30, 2023, compared to $0.8 million for the three months ended September 30, 2022 and $2.3 million for the nine months ended September 30, 2022.</w:t>
      </w:r>
    </w:p>
    <w:p>
      <w:pPr>
        <w:spacing w:after="0" w:line="15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62" w:lineRule="exact"/>
        <w:rPr>
          <w:sz w:val="20"/>
          <w:szCs w:val="20"/>
          <w:color w:val="auto"/>
        </w:rPr>
      </w:pPr>
    </w:p>
    <w:p>
      <w:pPr>
        <w:ind w:left="1260" w:hanging="50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6" w:lineRule="exact"/>
        <w:rPr>
          <w:rFonts w:ascii="Arial" w:cs="Arial" w:eastAsia="Arial" w:hAnsi="Arial"/>
          <w:sz w:val="18"/>
          <w:szCs w:val="18"/>
          <w:color w:val="auto"/>
        </w:rPr>
      </w:pPr>
    </w:p>
    <w:p>
      <w:pPr>
        <w:ind w:left="1260" w:right="180" w:hanging="503"/>
        <w:spacing w:after="0" w:line="263"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4" w:lineRule="exact"/>
        <w:rPr>
          <w:rFonts w:ascii="Arial" w:cs="Arial" w:eastAsia="Arial" w:hAnsi="Arial"/>
          <w:sz w:val="18"/>
          <w:szCs w:val="18"/>
          <w:color w:val="auto"/>
        </w:rPr>
      </w:pPr>
    </w:p>
    <w:p>
      <w:pPr>
        <w:ind w:left="1260" w:right="300" w:hanging="503"/>
        <w:spacing w:after="0" w:line="277"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on a recurring and nonrecurring basis as of September 30, 2023 and December 31, 2022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jc w:val="center"/>
              <w:ind w:right="145"/>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5"/>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2"/>
                <w:szCs w:val="12"/>
                <w:color w:val="auto"/>
              </w:rPr>
            </w:pPr>
          </w:p>
        </w:tc>
        <w:tc>
          <w:tcPr>
            <w:tcW w:w="13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3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20" w:type="dxa"/>
            <w:vAlign w:val="bottom"/>
            <w:tcBorders>
              <w:top w:val="single" w:sz="8" w:color="auto"/>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11,681</w:t>
            </w:r>
          </w:p>
        </w:tc>
        <w:tc>
          <w:tcPr>
            <w:tcW w:w="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1"/>
          </w:tcPr>
          <w:p>
            <w:pPr>
              <w:jc w:val="center"/>
              <w:ind w:right="25"/>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2"/>
                <w:szCs w:val="12"/>
                <w:color w:val="auto"/>
              </w:rPr>
            </w:pPr>
          </w:p>
        </w:tc>
        <w:tc>
          <w:tcPr>
            <w:tcW w:w="13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3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38,058</w:t>
            </w: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38,058</w:t>
            </w:r>
          </w:p>
        </w:tc>
        <w:tc>
          <w:tcPr>
            <w:tcW w:w="18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-958215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-941070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-958215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-941070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-958215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-941070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cash equivalents represent demand deposit accounts and deposits in a short-term United States treasury money market mutual fund quoted in an active market and classified as a Level 1 asset.</w:t>
      </w:r>
    </w:p>
    <w:p>
      <w:pPr>
        <w:spacing w:after="0" w:line="1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changes to the valuation methods during the three or nine months ended September 30, 2023. We had no financial assets or liabilities that were classified as Level 2 or Level 3 during the three or nine months ended September 30,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Non-Financial Instruments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evaluates assets for impairment whenever events or changes in circumstances indicate that indicators of impairment exist. In those evaluations, the Company compares estimated future undiscounted cash flows generated by each asset (or asset group) to the carrying value of the asset (or asset group) to determine if an impairment charge is required. If the undiscounted cash flows test fails, the Company estimates the fair value of the asset (or asset group) to determine the impairment.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Following the Company’s announced strategic reprioritization on August 14, 2023, the Company determined that changes in the intended use of certain property and equipment represented an indicator of impairment, resulting in an impairment charge of $1.0 million, which was primarily related to lab equipment of $0.9 million and leasehold improvements of $0.1 million.</w:t>
      </w:r>
    </w:p>
    <w:p>
      <w:pPr>
        <w:spacing w:after="0" w:line="7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In addition, the Company determined certain prepaid expense balances to be impaired given the Company’s strategic reprioritization, and therefore, has recorded an impairment charge of $0.1 million related to prepaid expenses and other current assets, which is recorded in research and development expenses within the condensed statement of operations.</w:t>
      </w:r>
    </w:p>
    <w:p>
      <w:pPr>
        <w:spacing w:after="0" w:line="75"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On November 9, 2023, the Company executed an agreement to sell laboratory equipment for gross proceeds of $1.5 million. As of September 30, 2023, the laboratory equipment had a carrying value of $1.5 million recorded within Property and Equipment, net in the condensed balance sheet.</w:t>
      </w:r>
    </w:p>
    <w:p>
      <w:pPr>
        <w:spacing w:after="0" w:line="143"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Basic net loss per share of common stock is computed by dividing net loss applicable to common stockholders by the weighted average number of shares of common stock outstanding for the period. Diluted net loss per share is computed using the weighted-average number of shares of common stock outstanding during the period, plus the dilutive effect of outstanding options and warrants, using the treasury stock method and the average market price of the Company's common stock during the applicable period, unless their effect on net loss per share is antidilutive. The effect of computing diluted net loss per common share was antidilutive for any potentially issuable shares of common stock from the conversion of stock options, unvested restricted stock and warrants and, as such, have been excluded from the calculation. Such potentially dilutive shares of common stock consisted of the following as of September 30, 2023 and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3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12,417,029</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10,623,215</w:t>
            </w:r>
          </w:p>
        </w:tc>
        <w:tc>
          <w:tcPr>
            <w:tcW w:w="100" w:type="dxa"/>
            <w:vAlign w:val="bottom"/>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Unvested restricted stock</w:t>
            </w:r>
          </w:p>
        </w:tc>
        <w:tc>
          <w:tcPr>
            <w:tcW w:w="1640" w:type="dxa"/>
            <w:vAlign w:val="bottom"/>
          </w:tcPr>
          <w:p>
            <w:pPr>
              <w:jc w:val="right"/>
              <w:spacing w:after="0"/>
              <w:rPr>
                <w:sz w:val="20"/>
                <w:szCs w:val="20"/>
                <w:color w:val="auto"/>
              </w:rPr>
            </w:pPr>
            <w:r>
              <w:rPr>
                <w:rFonts w:ascii="Arial" w:cs="Arial" w:eastAsia="Arial" w:hAnsi="Arial"/>
                <w:sz w:val="18"/>
                <w:szCs w:val="18"/>
                <w:color w:val="auto"/>
              </w:rPr>
              <w:t>437,500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940,000</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22,922,342</w:t>
            </w:r>
          </w:p>
        </w:tc>
        <w:tc>
          <w:tcPr>
            <w:tcW w:w="2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22,922,342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35,776,871</w:t>
            </w:r>
          </w:p>
        </w:tc>
        <w:tc>
          <w:tcPr>
            <w:tcW w:w="2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34,485,557</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with TriArm Therapeutics/Eden BioCell</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On December 18, 2018, the Company and TriArm Therapeutics, Ltd., or TriArm, launched Eden BioCell, Ltd., or Eden BioCell, as a joint venture to lead commercialization of the Company’s </w:t>
      </w:r>
      <w:r>
        <w:rPr>
          <w:rFonts w:ascii="Arial" w:cs="Arial" w:eastAsia="Arial" w:hAnsi="Arial"/>
          <w:sz w:val="16"/>
          <w:szCs w:val="16"/>
          <w:i w:val="1"/>
          <w:iCs w:val="1"/>
          <w:color w:val="auto"/>
        </w:rPr>
        <w:t>Sleeping Beauty</w:t>
      </w:r>
      <w:r>
        <w:rPr>
          <w:rFonts w:ascii="Arial" w:cs="Arial" w:eastAsia="Arial" w:hAnsi="Arial"/>
          <w:sz w:val="16"/>
          <w:szCs w:val="16"/>
          <w:color w:val="auto"/>
        </w:rPr>
        <w:t xml:space="preserve">-generated CAR-T therapies in the People’s Republic of China (including Macau and Hong Kong), Taiwan and Korea. The Company licensed to Eden BioCell the rights in Greater China for its third-generation </w:t>
      </w:r>
      <w:r>
        <w:rPr>
          <w:rFonts w:ascii="Arial" w:cs="Arial" w:eastAsia="Arial" w:hAnsi="Arial"/>
          <w:sz w:val="16"/>
          <w:szCs w:val="16"/>
          <w:i w:val="1"/>
          <w:iCs w:val="1"/>
          <w:color w:val="auto"/>
        </w:rPr>
        <w:t>Sleeping Beauty</w:t>
      </w:r>
      <w:r>
        <w:rPr>
          <w:rFonts w:ascii="Arial" w:cs="Arial" w:eastAsia="Arial" w:hAnsi="Arial"/>
          <w:sz w:val="16"/>
          <w:szCs w:val="16"/>
          <w:color w:val="auto"/>
        </w:rPr>
        <w:t>-generated CAR-T therapies targeting the CD19 antigen. Eden BioCell is owned equally by the Company and TriArm and the parties share decision-making authority. TriArm contributed $10.0 million to Eden BioCell and has committed up to an additional $25.0 million to this joint venture. TriArm also managed all clinical development in the territory pursuant to a master services agreement between TriArm and Eden BioCell. James Huang was the founder and serves as managing partner of Panacea Venture, which is an investor in TriArm. Mr. Huang was the Chair of the Company's board of directors until September 22, 2023 and had been a director since July 2020. He also serves as a member of Eden BioCell’s board of directors.</w:t>
      </w:r>
    </w:p>
    <w:p>
      <w:pPr>
        <w:spacing w:after="0" w:line="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In September 2021, TriArm and Alaunos mutually agreed to dissolve the Eden BioCell joint venture. The joint venture agreement has been terminated and the Eden BioCell entity has been dissolved as of July 2023. Refer to Note 13, </w:t>
      </w:r>
      <w:r>
        <w:rPr>
          <w:rFonts w:ascii="Arial" w:cs="Arial" w:eastAsia="Arial" w:hAnsi="Arial"/>
          <w:sz w:val="18"/>
          <w:szCs w:val="18"/>
          <w:i w:val="1"/>
          <w:iCs w:val="1"/>
          <w:color w:val="auto"/>
        </w:rPr>
        <w:t>Joint Venture</w:t>
      </w:r>
      <w:r>
        <w:rPr>
          <w:rFonts w:ascii="Arial" w:cs="Arial" w:eastAsia="Arial" w:hAnsi="Arial"/>
          <w:sz w:val="18"/>
          <w:szCs w:val="18"/>
          <w:color w:val="auto"/>
        </w:rPr>
        <w:t>, for further details.</w:t>
      </w:r>
    </w:p>
    <w:p>
      <w:pPr>
        <w:spacing w:after="0" w:line="16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April 2022, the Company modified its real estate lease agreement executed on December 15, 2020 with MD Anderson for office space in Houston, Texas, which reduced the Company's leased space from 18,111 square feet to 3,228 square feet. As a result, the associated lease liability and right-of-use asset were remeasured to $0.4 million based on revised lease payments. A gain of $0.1 million was recorded on the lease modification during the second quarter of 2022.</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April 19, 2023, the Company terminated its office lease in Boston, Massachusetts, which was set to expire on August 31, 2026. In connection with the termination, the Company also assigned to the landlord its sub-sublease of the Boston office space, which had a term expiring on June 30, 2025 with an option to extend through July 31, 2026. Termination costs for the Boston office lease were $0.2 million. A gain of $0.2 million was recorded on the lease termination during the second quarter of 2023.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August 2023, in accordance with the lease agreement executed on December 15, 2020, the Company notified MD Anderson, as landlord, of its intention to terminate office space of 3,228 square feet in Houston, Texas. As a result, the associated lease liability and right-of-use asset were remeasured to $19 thousand, reflecting the revised lease payments and term end date of November 2023.</w:t>
      </w:r>
    </w:p>
    <w:p>
      <w:pPr>
        <w:spacing w:after="0" w:line="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November 1, 2023, the Company and MD Anderson, as landlord, agreed to mutually terminate the leases dated October 15, 2019 and April 7, 2020, which represent office space totaling 14,037 square feet. The termination will be effective November 15, 2023 and the Company has agreed to make a final payment of $0.1 million to the landlord.</w:t>
      </w:r>
    </w:p>
    <w:p>
      <w:pPr>
        <w:spacing w:after="0" w:line="179"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Precigen</w:t>
      </w:r>
    </w:p>
    <w:p>
      <w:pPr>
        <w:spacing w:after="0" w:line="117"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On October 5, 2018, the Company entered into an exclusive license agreement, or License Agreement, with PGEN Therapeutics, or PGEN, a wholly owned subsidiary of Precigen Inc., or Precigen, which was formerly known as Intrexon Corporation. Except where the context otherwise requires, the Company refers to PGEN and Precigen together as Precigen. Pursuant to the terms of the License Agreement, the Company had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w:t>
      </w:r>
    </w:p>
    <w:p>
      <w:pPr>
        <w:spacing w:after="0" w:line="1" w:lineRule="exact"/>
        <w:rPr>
          <w:sz w:val="20"/>
          <w:szCs w:val="20"/>
          <w:color w:val="auto"/>
        </w:rPr>
      </w:pPr>
    </w:p>
    <w:p>
      <w:pPr>
        <w:ind w:right="480" w:firstLine="8"/>
        <w:spacing w:after="0" w:line="252" w:lineRule="auto"/>
        <w:tabs>
          <w:tab w:leader="none" w:pos="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Under the License Agreement, the Company also had exclusive, worldwide rights for certain patents relating to the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technology to research, develop and commercialize TCR products for both neoantigens and shared antigens for the treatment of cancer, referred to as TCR Products.</w:t>
      </w:r>
    </w:p>
    <w:p>
      <w:pPr>
        <w:spacing w:after="0" w:line="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was responsible for all aspects of the research, development and commercialization and was required to use commercially reasonable efforts to develop certain products.</w:t>
      </w:r>
    </w:p>
    <w:p>
      <w:pPr>
        <w:spacing w:after="0" w:line="62" w:lineRule="exact"/>
        <w:rPr>
          <w:sz w:val="20"/>
          <w:szCs w:val="20"/>
          <w:color w:val="auto"/>
        </w:rPr>
      </w:pPr>
    </w:p>
    <w:p>
      <w:pPr>
        <w:ind w:right="640"/>
        <w:spacing w:after="0" w:line="275" w:lineRule="auto"/>
        <w:rPr>
          <w:sz w:val="20"/>
          <w:szCs w:val="20"/>
          <w:color w:val="auto"/>
        </w:rPr>
      </w:pPr>
      <w:r>
        <w:rPr>
          <w:rFonts w:ascii="Arial" w:cs="Arial" w:eastAsia="Arial" w:hAnsi="Arial"/>
          <w:sz w:val="17"/>
          <w:szCs w:val="17"/>
          <w:color w:val="auto"/>
        </w:rPr>
        <w:t>In consideration of the licenses and other rights granted by Precigen, the Company was required to pay Precigen an annual license fee of $0.1 million, reimburse Precigen for certain historical costs, pay Precigen milestones up to an additional $52.5 million for each exclusively licensed program upon the achievement of certain milestones, and pay Precigen tiered royalties up to a maximum royalty amount of $100.0 million in the aggregate. The Company was also obligated to pay Precigen 20% of any sublicensing income received by us relating to the licensed products. The Company was responsible for all development costs associated with each of the licensed products.</w:t>
      </w:r>
    </w:p>
    <w:p>
      <w:pPr>
        <w:spacing w:after="0" w:line="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Precigen was obligated to pay the Company royalties up to a maximum royalty amount of $100.0 million. No royalty amounts were incurred during the three or nine months ended September 30, 2023 and 2022.</w:t>
      </w:r>
    </w:p>
    <w:p>
      <w:pPr>
        <w:spacing w:after="0" w:line="6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 xml:space="preserve">On April 3, 2023, the Company entered into the Amended and Restated Exclusive License Agreement with Precigen, or the A&amp;R License Agreement, which restated and amended the License Agreement in full. Under the A&amp;R License Agreement, the Company still has exclusive, worldwide rights to research, develop and commercialize TCR products designed for neoantigens or driver mutations for the treatment of cancer and non-exclusive rights to use non-driver mutation TCRs. The Company further maintains its exclusive, worldwide rights for certain patents relating to the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technology to research, develop and commercialize TCR products for both neoantigens and shared antigens for the treatment of cancer, referred to as TCR Products.</w:t>
      </w:r>
    </w:p>
    <w:p>
      <w:pPr>
        <w:spacing w:after="0" w:line="83"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The Company remains solely responsible for all aspects of the research, development and commercialization of the exclusively licensed products for the treatment of cancer. The (i) products utilizing Precigen’s RheoSwitch® gene switch, or RTS, for the treatment of cancer, referred to as IL-12 Products and (ii) CAR products directed to (A) CD19 for the treatment of cancer, referred to as CD19 Products, and (B) BCMA for the treatment of cancer, subject to certain obligations to pursue such target under the License and Collaboration Agreement effective March 27, 2015 between the Company, Precigen and ARES TRADING S.A., a subsidiary of Merck KGaA, as assigned by Precigen to PGEN are no longer exclusively licensed to the Company. The Company is no longer obligated to use commercially reasonable efforts for the exclusively licensed products. The A&amp;R License Agreement further eliminates any royalty or milestone obligations to Precigen, with an annual license fee of $75 thousand due on the anniversary of the A&amp;R License Agreement effective date. Precigen is no longer obligated to pay the Company royalties on the net sales derived from the sale of Precigen's CAR products.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and 2015 Research and Development Agreement —The University of Texas MD Anderson Cancer Center</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January 13,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spacing w:after="0" w:line="4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5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Research and Development Agreement, or the 2019 R&amp;D Agreement, which the Company entered into on October 22, 2019, with MD Anderson, pursuant to which the Company agreed to collaborate with respect to the TCR program.</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Precigen, and MD Anderson.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Research and Development Agreement—The University of Texas MD Anderson Cancer Center</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Under the 2019 R&amp;D Agreement, the Company and MD Anderson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 xml:space="preserve">The Company will own all inventions and intellectual property developed under the 2019 R&amp;D Agreement and the Company will retain all rights to all intellectual property, patentable or not, for oncology products manufactured using non-viral gene transfer technologies under the 2019 R&amp;D Agreement, including the Company's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technology. The Company has granted MD Anderson an exclusive license for such intellectual property to develop and commercialize autologous TCR products manufactured using viral gene transfer technologies and any products outside the field of oncology and a non-exclusive license for allogenic TCR products manufactured using viral-based technologies.</w:t>
      </w:r>
    </w:p>
    <w:p>
      <w:pPr>
        <w:spacing w:after="0" w:line="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 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sale of the Company's TCR products. For the three months ended September 30, 2023 the Company incurred clinical expenses of $0.2 million from MD Anderson related to the 2019 R&amp;D Agreement, compared to $0.3 million for the three months ended September 30, 2022. For the nine months ended September 30, 2023, the Company incurred clinical expenses of $0.7 million from MD Anderson related to the 2019 R&amp;D Agreement compared to $0.7 million for the nine months ended September 30, 2022.</w:t>
      </w:r>
    </w:p>
    <w:p>
      <w:pPr>
        <w:spacing w:after="0" w:line="77" w:lineRule="exact"/>
        <w:rPr>
          <w:sz w:val="20"/>
          <w:szCs w:val="20"/>
          <w:color w:val="auto"/>
        </w:rPr>
      </w:pPr>
    </w:p>
    <w:p>
      <w:pPr>
        <w:jc w:val="both"/>
        <w:ind w:right="240"/>
        <w:spacing w:after="0" w:line="341" w:lineRule="auto"/>
        <w:rPr>
          <w:sz w:val="20"/>
          <w:szCs w:val="20"/>
          <w:color w:val="auto"/>
        </w:rPr>
      </w:pPr>
      <w:r>
        <w:rPr>
          <w:rFonts w:ascii="Arial" w:cs="Arial" w:eastAsia="Arial" w:hAnsi="Arial"/>
          <w:sz w:val="16"/>
          <w:szCs w:val="16"/>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execution of the 2019 R&amp;D Agreement, on October 22, 2019, the Company issued MD Anderson a warrant to purchase 3,333,333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of the Company's common stock, which is referred to as the MD Anderson Warrant. The MD Anderson Warrant has an initial exercise price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expires on December 31, 2026, and vests upon the occurrence of certain clinical milestones. As of September 30, 2023, the milestones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been met.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the NCI</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 xml:space="preserve">On May 28, 2019, the Company entered into a patent license agreement, or the Patent License, with the National Cancer Institute, or the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w:t>
      </w:r>
      <w:r>
        <w:rPr>
          <w:rFonts w:ascii="Arial" w:cs="Arial" w:eastAsia="Arial" w:hAnsi="Arial"/>
          <w:sz w:val="17"/>
          <w:szCs w:val="17"/>
          <w:i w:val="1"/>
          <w:iCs w:val="1"/>
          <w:color w:val="auto"/>
        </w:rPr>
        <w:t>KRAS, TP53</w:t>
      </w:r>
      <w:r>
        <w:rPr>
          <w:rFonts w:ascii="Arial" w:cs="Arial" w:eastAsia="Arial" w:hAnsi="Arial"/>
          <w:sz w:val="17"/>
          <w:szCs w:val="17"/>
          <w:color w:val="auto"/>
        </w:rPr>
        <w:t xml:space="preserve"> and </w:t>
      </w:r>
      <w:r>
        <w:rPr>
          <w:rFonts w:ascii="Arial" w:cs="Arial" w:eastAsia="Arial" w:hAnsi="Arial"/>
          <w:sz w:val="17"/>
          <w:szCs w:val="17"/>
          <w:i w:val="1"/>
          <w:iCs w:val="1"/>
          <w:color w:val="auto"/>
        </w:rPr>
        <w:t>EGFR</w:t>
      </w:r>
      <w:r>
        <w:rPr>
          <w:rFonts w:ascii="Arial" w:cs="Arial" w:eastAsia="Arial" w:hAnsi="Arial"/>
          <w:sz w:val="17"/>
          <w:szCs w:val="17"/>
          <w:color w:val="auto"/>
        </w:rPr>
        <w:t xml:space="preserve">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Prior to January 1, 2023, the Company had entered into several amendments to the Patent License in order to expand its TCR library to include additional TCRs reactive to mutated </w:t>
      </w:r>
      <w:r>
        <w:rPr>
          <w:rFonts w:ascii="Arial" w:cs="Arial" w:eastAsia="Arial" w:hAnsi="Arial"/>
          <w:sz w:val="17"/>
          <w:szCs w:val="17"/>
          <w:i w:val="1"/>
          <w:iCs w:val="1"/>
          <w:color w:val="auto"/>
        </w:rPr>
        <w:t>KRAS</w:t>
      </w:r>
      <w:r>
        <w:rPr>
          <w:rFonts w:ascii="Arial" w:cs="Arial" w:eastAsia="Arial" w:hAnsi="Arial"/>
          <w:sz w:val="17"/>
          <w:szCs w:val="17"/>
          <w:color w:val="auto"/>
        </w:rPr>
        <w:t xml:space="preserve"> and </w:t>
      </w:r>
      <w:r>
        <w:rPr>
          <w:rFonts w:ascii="Arial" w:cs="Arial" w:eastAsia="Arial" w:hAnsi="Arial"/>
          <w:sz w:val="17"/>
          <w:szCs w:val="17"/>
          <w:i w:val="1"/>
          <w:iCs w:val="1"/>
          <w:color w:val="auto"/>
        </w:rPr>
        <w:t>TP53</w:t>
      </w:r>
      <w:r>
        <w:rPr>
          <w:rFonts w:ascii="Arial" w:cs="Arial" w:eastAsia="Arial" w:hAnsi="Arial"/>
          <w:sz w:val="17"/>
          <w:szCs w:val="17"/>
          <w:color w:val="auto"/>
        </w:rPr>
        <w:t xml:space="preserve"> neoantigens licensed from the NCI.</w:t>
      </w:r>
    </w:p>
    <w:p>
      <w:pPr>
        <w:spacing w:after="0" w:line="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terms of the Patent License require the Company to pay the NCI minimum annual royalties in the amount of $0.3 million, which will be reduced to $0.1 million once the aggregate minimum annual royalties paid by the Company equals $1.5 million.</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paid during the year ended December 31, 2022 upon the initiation of the Company's TCR-T Library Phase 1/2 Trial, which was a qualifying Phase 1 clinical trial under the terms of the Patent License.</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 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 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 reasonably satisfying required health and safety needs and (ii) terminate or modify the Patent License, including if the Company is not satisfying requirements for public use as specified by federal regulations. On October 27, 2023, the Company provided the NCI the requisite notice of its intent to terminate the Patent License, effective 60 days from such notice. The Company has discovered multiple proprietary TCRs targeting driver mutations through its hunTR TCR discovery platform, including many of the same </w:t>
      </w:r>
      <w:r>
        <w:rPr>
          <w:rFonts w:ascii="Arial" w:cs="Arial" w:eastAsia="Arial" w:hAnsi="Arial"/>
          <w:sz w:val="16"/>
          <w:szCs w:val="16"/>
          <w:i w:val="1"/>
          <w:iCs w:val="1"/>
          <w:color w:val="auto"/>
        </w:rPr>
        <w:t>KRAS</w:t>
      </w:r>
      <w:r>
        <w:rPr>
          <w:rFonts w:ascii="Arial" w:cs="Arial" w:eastAsia="Arial" w:hAnsi="Arial"/>
          <w:sz w:val="16"/>
          <w:szCs w:val="16"/>
          <w:color w:val="auto"/>
        </w:rPr>
        <w:t xml:space="preserve"> and </w:t>
      </w:r>
      <w:r>
        <w:rPr>
          <w:rFonts w:ascii="Arial" w:cs="Arial" w:eastAsia="Arial" w:hAnsi="Arial"/>
          <w:sz w:val="16"/>
          <w:szCs w:val="16"/>
          <w:i w:val="1"/>
          <w:iCs w:val="1"/>
          <w:color w:val="auto"/>
        </w:rPr>
        <w:t>TP53</w:t>
      </w:r>
      <w:r>
        <w:rPr>
          <w:rFonts w:ascii="Arial" w:cs="Arial" w:eastAsia="Arial" w:hAnsi="Arial"/>
          <w:sz w:val="16"/>
          <w:szCs w:val="16"/>
          <w:color w:val="auto"/>
        </w:rPr>
        <w:t xml:space="preserve"> mutations licensed from the NCI.</w:t>
      </w:r>
    </w:p>
    <w:p>
      <w:pPr>
        <w:spacing w:after="0" w:line="6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For the three months ended September 30, 2023, the Company recognized $0.1 million in license expenses to the NCI under this agreement, compared to $0.1 million for the three months ended September 30, 2022. For the nine months ended September 30, 2023, the Company recognized $0.5 million in license expenses to the NCI under this agreement, compared to $0.5 million for the nine months ended September 30, 2022.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 with the NCI</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On January 9, 2017, the Company entered into a Cooperative Research and Development Agreement, or the CRADA, with the NCI. The purpose of this collaboration was to advance a personalized TCR-T approach for the treatment of solid tumors. Using the Company's </w:t>
      </w:r>
      <w:r>
        <w:rPr>
          <w:rFonts w:ascii="Arial" w:cs="Arial" w:eastAsia="Arial" w:hAnsi="Arial"/>
          <w:sz w:val="16"/>
          <w:szCs w:val="16"/>
          <w:i w:val="1"/>
          <w:iCs w:val="1"/>
          <w:color w:val="auto"/>
        </w:rPr>
        <w:t>Sleeping Beauty</w:t>
      </w:r>
      <w:r>
        <w:rPr>
          <w:rFonts w:ascii="Arial" w:cs="Arial" w:eastAsia="Arial" w:hAnsi="Arial"/>
          <w:sz w:val="16"/>
          <w:szCs w:val="16"/>
          <w:color w:val="auto"/>
        </w:rPr>
        <w:t xml:space="preserve"> technology, the NCI would analyze a patient’s own cancer cells, identify their unique neoantigens and TCRs reactive against those neoantigens and then use the Company's </w:t>
      </w:r>
      <w:r>
        <w:rPr>
          <w:rFonts w:ascii="Arial" w:cs="Arial" w:eastAsia="Arial" w:hAnsi="Arial"/>
          <w:sz w:val="16"/>
          <w:szCs w:val="16"/>
          <w:i w:val="1"/>
          <w:iCs w:val="1"/>
          <w:color w:val="auto"/>
        </w:rPr>
        <w:t xml:space="preserve">Sleeping Beauty </w:t>
      </w:r>
      <w:r>
        <w:rPr>
          <w:rFonts w:ascii="Arial" w:cs="Arial" w:eastAsia="Arial" w:hAnsi="Arial"/>
          <w:sz w:val="16"/>
          <w:szCs w:val="16"/>
          <w:color w:val="auto"/>
        </w:rPr>
        <w:t>technology to transpose one or more TCRs into T cells for re-infusion. Research conducted under the CRADA was under the direction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Steven A. Rosenberg, M.D., Ph.D., Chief of the Surgery Branch at the NCI, in collaboration with the Company's researchers.</w:t>
      </w:r>
    </w:p>
    <w:p>
      <w:pPr>
        <w:spacing w:after="0" w:line="5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was responsible for providing the NCI with the test materials necessary for them to conduct their studies, and eventually, clinical trials pursuant to the CRADA. Inventions, data and materials discovered or produced in connection with performance of the research plan under the CRADA would have remained the sole property of the party who produced the discovery. The parties would have jointly owned all inventions jointly discovered under the research plan. The owner of any invention under the CRADA would have made the decision to file a patent covering the invention, or in the case of a jointly owned invention, the Company would have the first opportunity to file a patent covering the invention. If the Company failed to provide timely notice of its decision to the NCI or decided not to file a patent covering the joint invention, the NCI had the right to make the filing. For any invention solely owned by the NCI or jointly made by the NCI and the Company for which a patent application was filed, the U.S. Public Health service granted the Company an exclusive option to elect an exclusive or non-exclusive commercialization license. For inventions owned solely by the NCI or jointly owned by the NCI and the Company, which were licensed according to the terms described above, the Company agreed to grant to the U.S. government a non-exclusive, non-transferable, irrevocable and paid up license to practice the invention or have the invention practiced on its behalf throughout the world. The Company was also required to grant the U.S. government a non-exclusive, non-transferable, irrevocable and paid up license to practice the invention or have the invention practiced on its behalf throughout the world for any of the Company's solely owned inventions. The agreement could be terminated by any of the parties upon 60 days' prior written consent.</w:t>
      </w:r>
    </w:p>
    <w:p>
      <w:pPr>
        <w:spacing w:after="0" w:line="75"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 NCI has a cleared Investigational New Drug Application, or IND, that would permit them to begin this trial. To the Company's knowledge, the trial had not yet begun enrollment. The progress and timeline for this trial, including the timeline for dosing patients, are under control of the NCI.</w:t>
      </w:r>
    </w:p>
    <w:p>
      <w:pPr>
        <w:spacing w:after="0" w:line="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2019, the Company extended the CRADA with the NCI until January 9, 2022, committing an additional $5.0 million to this program; however, for the third and fourth quarters of 2021, the Company was not required to make payments toward the program as agreed with the NCI. In March 2022, the Company entered into an amendment to the CRADA that is retroactive, effective January 9, 2022 to extend the term of the CRADA until January 9, 2023. In June 2022, the Company entered into the Fourth Amendment to the CRADA, or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did not record expenses under the CRADA for the three months ended September 30, 2023 and recorded expenses of $0.5 million for the nine months ended September 30, 2023, compared to $0 for the three and nine months ended September 30, 2022.</w:t>
      </w:r>
    </w:p>
    <w:p>
      <w:pPr>
        <w:spacing w:after="0" w:line="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14, 2023, the Company announced that it had provided the requisite notice to terminate the CRADA, pursuant to its terms, effective October 13, 2023, in light of the Company’s exploration of strategic alternatives.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and Technology License Agreement—The University of Texas MD Anderson Cancer Center and the Texas A&amp;M University System</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4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terms of the agreement, the Company may be required to make additional payments to the Licensors upon achievement of certain milestones in varying amounts which, on a cumulative basis could total up to an additional $4.5 million. In addition, the Licensors are entitled to receive royalty payments on sales from a licensed product and will also be entitled to receive a portion of any fees that the Company may receive from a possible sublicense under certain circumstances. During the three and nine months ended September 30, 2023 and 2022, the Company did not incur any milestone expenses or royalty expenses on sales under this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with Solasia Pharma K.K.</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March 7, 2011, the Company entered into a License and Collaboration Agreement with Solasia Pharma K. K., or Solasia, which was amended on July 31, 2014 to include an exclusive worldwide license and amended on October 14,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Solasia License and Collaboration Agreement, will receive a portion of all milestone and royalty payments made by Solasia to the Company in accordance with the terms of the Solasia License and Collaboration Agreement with the licensors, as described above.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2022, Solasia announced that darinaparsin had been approved from relapsed or refractory Peripheral T-Cell Lymphoma by the Ministry of Health, Labor and Welfare in Japan. During the three months ended September 30, 2023, the Company did not earn collaboration revenue and did not earn royalty revenues on net sales under the Solasia License and Collaboration Agreement, and for the nine months ended September 30, 2023, the Company earned $4 thousand in collaboration revenue and did not earn royalty revenues on net sales under the Solasia License and Collaboration Agreement. During the three and nine months ended September 30, 2022, the Company earned $2.9 million in collaboration revenue and did not earn royalty revenues on net sales under the Solasia License and Collaboration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KBI Biopharma Litigation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March 17, 2023, KBI Biopharma, Inc., or KBI, filed a complaint against the Company in the District Court of Harris County, Texas, 165th Judicial District, asserting breach of an Amended and Restated Master Services Agreement between the Company and KBI relating to the development of an autologous gene modified T-cell therapy product, or the KBI Agreement. KBI was primarily seeking unspecified monetary damages in excess of $3.2 million. On May 1, 2023, the Company filed an answer generally denying all of KBI’s allegations and asserting affirmative and other defenses as well as counterclaims for breach of the KBI Agreement and conversion. On October 20, 2023, the Company entered into an agreement with KBI to settle all claims asserted by KBI against the Company and the Company's counterclaims against KBI at issue in the litigation for $1.0 million. As a result, the Company has accrued $1.0 million as of September 30, 2023 for the settlement.</w:t>
      </w:r>
    </w:p>
    <w:p>
      <w:pPr>
        <w:spacing w:after="0" w:line="17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on all employee and non-employee awards as follows:</w:t>
      </w:r>
    </w:p>
    <w:p>
      <w:pPr>
        <w:spacing w:after="0" w:line="217"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Nine Months</w:t>
            </w:r>
          </w:p>
        </w:tc>
        <w:tc>
          <w:tcPr>
            <w:tcW w:w="60" w:type="dxa"/>
            <w:vAlign w:val="bottom"/>
          </w:tcPr>
          <w:p>
            <w:pPr>
              <w:spacing w:after="0"/>
              <w:rPr>
                <w:sz w:val="14"/>
                <w:szCs w:val="14"/>
                <w:color w:val="auto"/>
              </w:rPr>
            </w:pPr>
          </w:p>
        </w:tc>
      </w:tr>
      <w:tr>
        <w:trPr>
          <w:trHeight w:val="185"/>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w w:val="95"/>
              </w:rPr>
              <w:t>Ended September 30,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Ended September 30,</w:t>
            </w:r>
          </w:p>
        </w:tc>
        <w:tc>
          <w:tcPr>
            <w:tcW w:w="60" w:type="dxa"/>
            <w:vAlign w:val="bottom"/>
          </w:tcPr>
          <w:p>
            <w:pPr>
              <w:spacing w:after="0"/>
              <w:rPr>
                <w:sz w:val="16"/>
                <w:szCs w:val="16"/>
                <w:color w:val="auto"/>
              </w:rPr>
            </w:pPr>
          </w:p>
        </w:tc>
      </w:tr>
      <w:tr>
        <w:trPr>
          <w:trHeight w:val="169"/>
        </w:trPr>
        <w:tc>
          <w:tcPr>
            <w:tcW w:w="36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r>
      <w:tr>
        <w:trPr>
          <w:trHeight w:val="236"/>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60" w:type="dxa"/>
            <w:vAlign w:val="bottom"/>
            <w:shd w:val="clear" w:color="auto" w:fill="CFF0FC"/>
          </w:tcPr>
          <w:p>
            <w:pPr>
              <w:spacing w:after="0"/>
              <w:rPr>
                <w:sz w:val="20"/>
                <w:szCs w:val="20"/>
                <w:color w:val="auto"/>
              </w:rPr>
            </w:pPr>
          </w:p>
        </w:tc>
      </w:tr>
      <w:tr>
        <w:trPr>
          <w:trHeight w:val="236"/>
        </w:trPr>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60" w:type="dxa"/>
            <w:vAlign w:val="bottom"/>
          </w:tcPr>
          <w:p>
            <w:pPr>
              <w:spacing w:after="0"/>
              <w:rPr>
                <w:sz w:val="20"/>
                <w:szCs w:val="20"/>
                <w:color w:val="auto"/>
              </w:rPr>
            </w:pPr>
          </w:p>
        </w:tc>
      </w:tr>
      <w:tr>
        <w:trPr>
          <w:trHeight w:val="276"/>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-24765</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-7620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wp:posOffset>
            </wp:positionV>
            <wp:extent cx="425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425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-24765</wp:posOffset>
            </wp:positionV>
            <wp:extent cx="425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-7620</wp:posOffset>
            </wp:positionV>
            <wp:extent cx="425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42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425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granted an aggregate of 10,000 stock options during the three months ended September 30, 2023, with a weighted-average grant date fair value of $0.39 per share, and granted an aggregate of 3,695,167 stock options during the nine months ended September 30, 2023, with a weighted-average grant date fair value of $0.39 per share. The Company granted an aggregate of 1,275,000 stock options during the three months ended September 30, 2022, with a weighted-average grant date fair value of $1.52 per share, and granted an aggregate of 7,150,438 stock options during the nine months ended September 30, 2022, with a weighted-average grant date fair value of $1.91 per share.</w:t>
      </w:r>
    </w:p>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nine months ended September 30, 2023 and 2022, the fair value of stock options was estimated on the date of grant using a Black-Scholes option valuation model with the following assumptions: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120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w w:val="98"/>
              </w:rPr>
              <w:t>For the Three Months Ended September 30,</w:t>
            </w:r>
          </w:p>
        </w:tc>
        <w:tc>
          <w:tcPr>
            <w:tcW w:w="10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169"/>
        </w:trPr>
        <w:tc>
          <w:tcPr>
            <w:tcW w:w="2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4"/>
                <w:szCs w:val="14"/>
                <w:color w:val="auto"/>
              </w:rPr>
            </w:pPr>
          </w:p>
        </w:tc>
        <w:tc>
          <w:tcPr>
            <w:tcW w:w="15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4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5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2022</w:t>
            </w:r>
          </w:p>
        </w:tc>
      </w:tr>
      <w:tr>
        <w:trPr>
          <w:trHeight w:val="236"/>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 – 3.62%</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 – 4.01%</w:t>
            </w:r>
          </w:p>
        </w:tc>
        <w:tc>
          <w:tcPr>
            <w:tcW w:w="12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 – 3.62%</w:t>
            </w:r>
          </w:p>
        </w:tc>
      </w:tr>
      <w:tr>
        <w:trPr>
          <w:trHeight w:val="236"/>
        </w:trPr>
        <w:tc>
          <w:tcPr>
            <w:tcW w:w="358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6.23 – 6.25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5.06 – 6.25</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5.27 – 6.25</w:t>
            </w:r>
          </w:p>
        </w:tc>
      </w:tr>
      <w:tr>
        <w:trPr>
          <w:trHeight w:val="249"/>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90.65%</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82.43 – 85.89%</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89.69 – 95.63%</w:t>
            </w: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 – 85.89%</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stock option plans for the nine months ended September 30, 2023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7"/>
              </w:rPr>
              <w:t>Weighted-</w:t>
            </w: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share and per share data)</w:t>
            </w:r>
          </w:p>
        </w:tc>
        <w:tc>
          <w:tcPr>
            <w:tcW w:w="14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Number of Shares</w:t>
            </w:r>
          </w:p>
        </w:tc>
        <w:tc>
          <w:tcPr>
            <w:tcW w:w="18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December 31, 2022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10,408,622</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3,695,167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Cancelled</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(1,686,760 )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September 30,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12,417,029</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top w:val="single" w:sz="8" w:color="CFF0FC"/>
            </w:tcBorders>
          </w:tcPr>
          <w:p>
            <w:pPr>
              <w:spacing w:after="0"/>
              <w:rPr>
                <w:sz w:val="20"/>
                <w:szCs w:val="20"/>
                <w:color w:val="auto"/>
              </w:rPr>
            </w:pPr>
          </w:p>
        </w:tc>
        <w:tc>
          <w:tcPr>
            <w:tcW w:w="118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exercisable, September 30,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6,126,738</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Options exercisable, December 31, 2022</w:t>
            </w:r>
          </w:p>
        </w:tc>
        <w:tc>
          <w:tcPr>
            <w:tcW w:w="1220" w:type="dxa"/>
            <w:vAlign w:val="bottom"/>
          </w:tcPr>
          <w:p>
            <w:pPr>
              <w:jc w:val="right"/>
              <w:spacing w:after="0"/>
              <w:rPr>
                <w:sz w:val="20"/>
                <w:szCs w:val="20"/>
                <w:color w:val="auto"/>
              </w:rPr>
            </w:pPr>
            <w:r>
              <w:rPr>
                <w:rFonts w:ascii="Arial" w:cs="Arial" w:eastAsia="Arial" w:hAnsi="Arial"/>
                <w:sz w:val="18"/>
                <w:szCs w:val="18"/>
                <w:color w:val="auto"/>
              </w:rPr>
              <w:t>3,891,598</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available for future grant, September 30, 2023</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13,451,681</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-727075</wp:posOffset>
            </wp:positionV>
            <wp:extent cx="7683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-727075</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-384810</wp:posOffset>
            </wp:positionV>
            <wp:extent cx="269684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September 30, 2023, total unrecognized compensation costs related to unvested stock options outstanding amounted to $4.2 million. The cost is expected to be recognized over a weighted-average period of 1.70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unvested restricted stock for the nine months ended September 30, 2023 was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Number of Shares</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December 31,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939,062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(501,562 )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September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437,500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September 30, 2023, total unrecognized compensation costs related to unvested restricted stock outstanding amounted to $0.7 million. The cost is expected to be recognized over a weighted-average period of 1.48 years.</w:t>
      </w:r>
    </w:p>
    <w:p>
      <w:pPr>
        <w:spacing w:after="0" w:line="16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Company’s November 2018 private placement that provided net proceeds of approximately $47.1 million, the Company issued warrants to purchase an aggregate of 18,939,394 shares of common stock, which became exercisable six months after the closing of the private placement, or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8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issued participating investors new warrants to purchase up to 17,803,031 additional shares of common stock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October 22, 2019, the Company entered into the 2019 R&amp;D Agreement with MD Anderson. In connection with the execution of the 2019 R&amp;D Agreement, the Company issued the MD Anderson Warrant to purchase 3,333,333 shares of common stock. The MD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600"/>
        <w:spacing w:after="0"/>
        <w:rPr>
          <w:sz w:val="20"/>
          <w:szCs w:val="20"/>
          <w:color w:val="auto"/>
        </w:rPr>
      </w:pPr>
      <w:r>
        <w:rPr>
          <w:rFonts w:ascii="Arial" w:cs="Arial" w:eastAsia="Arial" w:hAnsi="Arial"/>
          <w:sz w:val="18"/>
          <w:szCs w:val="18"/>
          <w:b w:val="1"/>
          <w:bCs w:val="1"/>
          <w:color w:val="auto"/>
        </w:rPr>
        <w:t>Alaunos Therapeutics, Inc.</w:t>
      </w:r>
    </w:p>
    <w:p>
      <w:pPr>
        <w:spacing w:after="0" w:line="11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three and nine months ended September 30, 2023 and 2022, the Company did not recognize any expense related to the MD Anderson Warrant as the clinical milestones had not been achieved.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August 6, 2021, the Company entered into the Loan and Security Agreement with SVB. Refer to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connection with the Loan and Security Agreement, the Company issued SVB warrants to purchase 432,844 shares of common stock with an exercise price of $2.22 per share. The warrants have a ten-year life and were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First Amendment, as described in Note 4,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connection with which, the original warrants issued to SVB were amended and restated. As amended and restated, the SVB Warrants are for up to 649,615 shares of common stock, in the aggregate, with an exercise price of $1.16 per share. The SVB Warrants expire on August 6, 2031 and were fully vested upon issuance. As of September 30, 2023, none of the SVB Warrants have been exercised.</w:t>
      </w:r>
    </w:p>
    <w:p>
      <w:pPr>
        <w:spacing w:after="0" w:line="19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14, 2023, the Company announced a strategic reprioritization of its business and wind down of its TCR-T Library Phase 1/2 Trial. In connection with the reprioritization, the Company reduced its workforce by approximately 60% during the third quarter of 2023. Concurrently, the Company began considering certain strategic alternatives, including, but not limited to, an acquisition, merger, reverse merger, sale of assets, strategic partnerships, capital raises or other transactions. During the three and nine months ended September 30, 2023, the Company recorded termination benefits of $0.4 million, recorded in restructuring costs within the condensed statement of operations. The termination benefits were fully paid as of September 30, 2023.</w:t>
      </w:r>
    </w:p>
    <w:p>
      <w:pPr>
        <w:spacing w:after="0" w:line="15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Joint Venture</w:t>
      </w:r>
    </w:p>
    <w:p>
      <w:pPr>
        <w:spacing w:after="0" w:line="121" w:lineRule="exact"/>
        <w:rPr>
          <w:sz w:val="20"/>
          <w:szCs w:val="20"/>
          <w:color w:val="auto"/>
        </w:rPr>
      </w:pPr>
    </w:p>
    <w:p>
      <w:pPr>
        <w:ind w:right="520"/>
        <w:spacing w:after="0" w:line="341" w:lineRule="auto"/>
        <w:rPr>
          <w:sz w:val="20"/>
          <w:szCs w:val="20"/>
          <w:color w:val="auto"/>
        </w:rPr>
      </w:pPr>
      <w:r>
        <w:rPr>
          <w:rFonts w:ascii="Arial" w:cs="Arial" w:eastAsia="Arial" w:hAnsi="Arial"/>
          <w:sz w:val="16"/>
          <w:szCs w:val="16"/>
          <w:color w:val="auto"/>
        </w:rPr>
        <w:t xml:space="preserve">On December 18, 2018, the Company entered into a Framework Agreement with TriArm whereby the parties agreed to launch Eden BioCell, to lead clinical development and commercialization of certain </w:t>
      </w:r>
      <w:r>
        <w:rPr>
          <w:rFonts w:ascii="Arial" w:cs="Arial" w:eastAsia="Arial" w:hAnsi="Arial"/>
          <w:sz w:val="16"/>
          <w:szCs w:val="16"/>
          <w:i w:val="1"/>
          <w:iCs w:val="1"/>
          <w:color w:val="auto"/>
        </w:rPr>
        <w:t>Sleeping Beauty</w:t>
      </w:r>
      <w:r>
        <w:rPr>
          <w:rFonts w:ascii="Arial" w:cs="Arial" w:eastAsia="Arial" w:hAnsi="Arial"/>
          <w:sz w:val="16"/>
          <w:szCs w:val="16"/>
          <w:color w:val="auto"/>
        </w:rPr>
        <w:t>-generated CAR-T therapies as set forth in a separate license agreement.</w:t>
      </w:r>
    </w:p>
    <w:p>
      <w:pPr>
        <w:spacing w:after="0" w:line="17"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Arial" w:cs="Arial" w:eastAsia="Arial" w:hAnsi="Arial"/>
          <w:sz w:val="18"/>
          <w:szCs w:val="18"/>
          <w:i w:val="1"/>
          <w:iCs w:val="1"/>
          <w:color w:val="auto"/>
        </w:rPr>
        <w:t>Sleeping Beauty</w:t>
      </w:r>
      <w:r>
        <w:rPr>
          <w:rFonts w:ascii="Arial" w:cs="Arial" w:eastAsia="Arial" w:hAnsi="Arial"/>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8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determined that Eden BioCell was considered a variable interest entity, or VIE, and concluded that it was not the primary beneficiary of the VIE as it did not have the power to direct the activities of the VIE. As a result, the Company accounted for the equity interest in Eden BioCell under the equity method of accounting as it had the ability to exercise significant influence.</w:t>
      </w:r>
    </w:p>
    <w:p>
      <w:pPr>
        <w:spacing w:after="0" w:line="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September 2021, TriArm and the Company mutually agreed to dissolve the joint venture, which has now been terminated. The Eden BioCell entity has been dissolved as of July 2023.</w:t>
      </w:r>
    </w:p>
    <w:p>
      <w:pPr>
        <w:spacing w:after="0" w:line="20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has evaluated subsequent events from the balance sheet date through the date on which these condensed financial statements were issued. Other than as described in the notes above, the Company did not have any material subsequent events that impacted its condensed financial statements or disclosures.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financial statements and related notes included in this Quarterly Report on Form 10-Q and the audited financial information and related notes included in our Annual Report on Form 10-K, which was filed with the Securities and Exchange Commission, or the SEC, on March 7, 2023, or the Annual Report.</w:t>
      </w:r>
    </w:p>
    <w:p>
      <w:pPr>
        <w:spacing w:after="0" w:line="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Except for the historical financial information contained herein, the matters discussed in this Quarterly Report on Form 10-Q may be deemed to contain forward-looking statements that reflect our plans, estimates and beliefs.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p>
    <w:p>
      <w:pPr>
        <w:spacing w:after="0" w:line="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Our actual results could differ materially from those contained in or implied by any forward-looking statements. Factors that could cause or contribute to these differences include those risks identified under Part II, 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We have operated as a clinical-stage oncology-focused cell therapy company developing adoptive TCR-T cell therapy, designed to treat multiple solid tumor types in large cancer patient populations with unmet clinical needs. We were working to leverage our cancer hotspot mutation TCR library and our proprietary, non-viral </w:t>
      </w:r>
      <w:r>
        <w:rPr>
          <w:rFonts w:ascii="Arial" w:cs="Arial" w:eastAsia="Arial" w:hAnsi="Arial"/>
          <w:sz w:val="18"/>
          <w:szCs w:val="18"/>
          <w:i w:val="1"/>
          <w:iCs w:val="1"/>
          <w:color w:val="auto"/>
        </w:rPr>
        <w:t>Sleeping Beauty</w:t>
      </w:r>
      <w:r>
        <w:rPr>
          <w:rFonts w:ascii="Arial" w:cs="Arial" w:eastAsia="Arial" w:hAnsi="Arial"/>
          <w:sz w:val="18"/>
          <w:szCs w:val="18"/>
          <w:color w:val="auto"/>
        </w:rPr>
        <w:t xml:space="preserve"> gene transfer platform to design and manufacture patient-specific cell therapies that target neoantigens arising from shared tumor-specific mutations in key oncogenic genes, including </w:t>
      </w:r>
      <w:r>
        <w:rPr>
          <w:rFonts w:ascii="Arial" w:cs="Arial" w:eastAsia="Arial" w:hAnsi="Arial"/>
          <w:sz w:val="18"/>
          <w:szCs w:val="18"/>
          <w:i w:val="1"/>
          <w:iCs w:val="1"/>
          <w:color w:val="auto"/>
        </w:rPr>
        <w:t>KRAS</w:t>
      </w:r>
      <w:r>
        <w:rPr>
          <w:rFonts w:ascii="Arial" w:cs="Arial" w:eastAsia="Arial" w:hAnsi="Arial"/>
          <w:sz w:val="18"/>
          <w:szCs w:val="18"/>
          <w:color w:val="auto"/>
        </w:rPr>
        <w:t xml:space="preserve">, </w:t>
      </w:r>
      <w:r>
        <w:rPr>
          <w:rFonts w:ascii="Arial" w:cs="Arial" w:eastAsia="Arial" w:hAnsi="Arial"/>
          <w:sz w:val="18"/>
          <w:szCs w:val="18"/>
          <w:i w:val="1"/>
          <w:iCs w:val="1"/>
          <w:color w:val="auto"/>
        </w:rPr>
        <w:t>TP53</w:t>
      </w:r>
      <w:r>
        <w:rPr>
          <w:rFonts w:ascii="Arial" w:cs="Arial" w:eastAsia="Arial" w:hAnsi="Arial"/>
          <w:sz w:val="18"/>
          <w:szCs w:val="18"/>
          <w:color w:val="auto"/>
        </w:rPr>
        <w:t xml:space="preserve"> and </w:t>
      </w:r>
      <w:r>
        <w:rPr>
          <w:rFonts w:ascii="Arial" w:cs="Arial" w:eastAsia="Arial" w:hAnsi="Arial"/>
          <w:sz w:val="18"/>
          <w:szCs w:val="18"/>
          <w:i w:val="1"/>
          <w:iCs w:val="1"/>
          <w:color w:val="auto"/>
        </w:rPr>
        <w:t>EGFR</w:t>
      </w:r>
      <w:r>
        <w:rPr>
          <w:rFonts w:ascii="Arial" w:cs="Arial" w:eastAsia="Arial" w:hAnsi="Arial"/>
          <w:sz w:val="18"/>
          <w:szCs w:val="18"/>
          <w:color w:val="auto"/>
        </w:rPr>
        <w:t xml:space="preserve">. In collaboration with the MD Anderson Cancer Center, or MD Anderson, we were enrolling and treating patients for a Phase 1/2 clinical trial which was evaluating 12 TCRs reactive to mutated </w:t>
      </w:r>
      <w:r>
        <w:rPr>
          <w:rFonts w:ascii="Arial" w:cs="Arial" w:eastAsia="Arial" w:hAnsi="Arial"/>
          <w:sz w:val="18"/>
          <w:szCs w:val="18"/>
          <w:i w:val="1"/>
          <w:iCs w:val="1"/>
          <w:color w:val="auto"/>
        </w:rPr>
        <w:t>KRAS, TP53</w:t>
      </w:r>
      <w:r>
        <w:rPr>
          <w:rFonts w:ascii="Arial" w:cs="Arial" w:eastAsia="Arial" w:hAnsi="Arial"/>
          <w:sz w:val="18"/>
          <w:szCs w:val="18"/>
          <w:color w:val="auto"/>
        </w:rPr>
        <w:t xml:space="preserve"> and </w:t>
      </w:r>
      <w:r>
        <w:rPr>
          <w:rFonts w:ascii="Arial" w:cs="Arial" w:eastAsia="Arial" w:hAnsi="Arial"/>
          <w:sz w:val="18"/>
          <w:szCs w:val="18"/>
          <w:i w:val="1"/>
          <w:iCs w:val="1"/>
          <w:color w:val="auto"/>
        </w:rPr>
        <w:t>EGFR</w:t>
      </w:r>
      <w:r>
        <w:rPr>
          <w:rFonts w:ascii="Arial" w:cs="Arial" w:eastAsia="Arial" w:hAnsi="Arial"/>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not generated any product revenue and have incurred significant net losses in each year since our inception. For the nine months ended September 30, 2023, we had a net loss of $27.3 million, and as of September 30, 2023, we have incurred approximately $907.9 million of accumulated deficit since our inception in 2003. We expect to continue to incur significant operating expenditures and net losses.</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14, 2023, we announced a strategic reprioritization of our business and wind down of our TCR-T Library Phase 1/2 Trial. In connection with the reprioritization, we have reduced our workforce by approximately 80% to date and we continue working to reduce costs in order to extend our cash runway. We continue to explore strategic alternatives, including, but not limited to, an acquisition, merger, reverse merger, sale of assets, strategic partnerships, capital raises or other transactions. We have engaged Cantor Fitzgerald &amp; Co., or Cantor, to act as strategic advisor for this process. In addition, on August 14, 2023, we announced that we had provided the requisite notice to the NCI to terminate the Cooperative Research and Development Agreement, dated January 9, 2017, by and among us, the National Cancer Institute, or the NCI, and Intrexon Corporation, or Intrexon, as amended (such agreement referred to herein as the CRADA), pursuant to its terms, effective October 13,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TCR-T Library Phase 1/2 Trial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Eight patients were treated and evaluated in our TCR-T Library Phase 1/2 Trial. Patients with pancreatic (3), colorectal (4) and non-small cell lung cancer</w:t>
      </w:r>
    </w:p>
    <w:p>
      <w:pPr>
        <w:spacing w:after="0" w:line="46" w:lineRule="exact"/>
        <w:rPr>
          <w:sz w:val="20"/>
          <w:szCs w:val="20"/>
          <w:color w:val="auto"/>
        </w:rPr>
      </w:pPr>
    </w:p>
    <w:p>
      <w:pPr>
        <w:ind w:firstLine="8"/>
        <w:spacing w:after="0" w:line="25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were treated, with certain pancreatic and colorectal patients also having lung metastases. Overall, the trial showed our T-cells were generally well-tolerated in all evaluable participants with no dose-limiting toxicities (DLTs) and no immune effector cell-associated neurotoxicity syndrome (ICANS) were observed. All cytokine release syndrome (CRS) events were within grades 1-3 and were self-limiting or resolved with standard clinical management and, in some cases, a single dose of tocilizumab.</w:t>
      </w:r>
    </w:p>
    <w:p>
      <w:pPr>
        <w:spacing w:after="0" w:line="8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One patient with non-small cell lung cancer (NSCLC) achieved an objective partial response with six months progression-free survival. Six other patients achieved best overall response of stable disease. The total overall response rate was 13% and disease control rate was 87% in evaluable patients with advanced, metastatic, refractory solid tumors (see Figure A). Disease control was measured by objective responses and stable disease. Increased secretion of interferon-gamma relative to baseline was detected in all patients' serum post-cell transfer suggesting recognition of the tumor by the infused TCR-T cells. Persistence of TCR-T cells in peripheral blood was detected in all evaluable patients at their last follow-up, including up to six months in one patient. Infiltration of TCR-T cells into the tumor was also detected in three samples where a fresh biopsy was collected suggesting homing to the tumor microenvironment. All patients have progressed or withdrawn from the trial and long-term follow-up is ongoing for a subset of patients with no further intervention per the treatment protocol. This trial established proof-of-concept that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TCR-T cells can result in objective clinical responses and recognize established tumors in vivo.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Figure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83185</wp:posOffset>
            </wp:positionV>
            <wp:extent cx="3296285" cy="172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96285" cy="172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Despite the encouraging TCR-T Library Phase 1/2 Trial data, based on the substantial cost to continue development and the current financing environment, we announced in August 2023 that we would not pursue any further development of our clinical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hunTR® Platform</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We have discovered multiple proprietary TCRs targeting driver mutations through our hunTR TCR discovery platform. In addition to TCRs that recognize </w:t>
      </w:r>
      <w:r>
        <w:rPr>
          <w:rFonts w:ascii="Arial" w:cs="Arial" w:eastAsia="Arial" w:hAnsi="Arial"/>
          <w:sz w:val="16"/>
          <w:szCs w:val="16"/>
          <w:i w:val="1"/>
          <w:iCs w:val="1"/>
          <w:color w:val="auto"/>
        </w:rPr>
        <w:t xml:space="preserve">KRAS </w:t>
      </w:r>
      <w:r>
        <w:rPr>
          <w:rFonts w:ascii="Arial" w:cs="Arial" w:eastAsia="Arial" w:hAnsi="Arial"/>
          <w:sz w:val="16"/>
          <w:szCs w:val="16"/>
          <w:color w:val="auto"/>
        </w:rPr>
        <w:t>and</w:t>
      </w:r>
      <w:r>
        <w:rPr>
          <w:rFonts w:ascii="Arial" w:cs="Arial" w:eastAsia="Arial" w:hAnsi="Arial"/>
          <w:sz w:val="16"/>
          <w:szCs w:val="16"/>
          <w:i w:val="1"/>
          <w:iCs w:val="1"/>
          <w:color w:val="auto"/>
        </w:rPr>
        <w:t xml:space="preserve"> TP53 </w:t>
      </w:r>
      <w:r>
        <w:rPr>
          <w:rFonts w:ascii="Arial" w:cs="Arial" w:eastAsia="Arial" w:hAnsi="Arial"/>
          <w:sz w:val="16"/>
          <w:szCs w:val="16"/>
          <w:color w:val="auto"/>
        </w:rPr>
        <w:t>mutations similar to those licensed from the NCI, we identified additional TCRs that bind to other driver mutations and TCRs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to additional HLAs. We believe that the hunTR library has the potential to allow for the treatment of a large patient population.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Alternatives</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continue to explore strategic alternatives, which may include but are not limited to, an acquisition, merger, reverse merger, sale of assets, strategic partnerships, capital raises or other transactions. In connection with the strategic reprioritization, we have reduced our workforce by approximately 80% to date in order to streamline the organization and to maximize our cash runway.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 Determination</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previously disclosed on January 4, 2023, we were notified by the Listing Qualifications Department, or the Staff, of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were provided a period of 180 calendar days, or until July 3, 2023, or the Compliance Date, to regain compliance with the Bid Price Requirement. On June 22, 2023, we applied to transfer our listing from the Nasdaq Global Select Market to the Nasdaq Capital Market, or the Transfer. On July 5, 2023, Nasdaq notified us that the Transfer was approved, and that, in connection with the Transfer, we were eligible for an additional 180 calendar day period, or until January 2, 2024, or the Extended Compliance Date, to regain compliance with the Minimum Bid Price Rule. On November 8, 2023, we received a Staff Delisting Determination letter, or the Delisting Determination, from the Staff notifying us that, because the closing bid price for our common stock was below $0.10 per share for 10 consecutive trading days during the Extended Compliance Period, the Staff has determined to suspend trading of our common stock on Nasdaq pursuant to Nasdaq Listing Rule 5810(c)(3)(A)(iii), effective November 17, 2023, and file a Form 25-NSE with the SEC to remove our common stock from listing and registration under the Securities Exchange Act of 1934, as amended, unless we timely request an appeal of the Delisting Determination to a Nasdaq Hearings Panel, or the Panel. We intend to timely request a hearing before the Panel to appeal the Delisting Determination and expect a hearing before the Panel to be scheduled where we will seek to remain listed until we are able to consummate a strategic transaction, if ever. Following the hearing, we expect the Panel to issue a written decision that will determine whether our common stock will remain listed on Nasdaq.</w:t>
      </w:r>
    </w:p>
    <w:p>
      <w:pPr>
        <w:spacing w:after="0" w:line="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timely request for a hearing ordinarily stays the suspension or delisting of our common stock so we expect our common stock will continue to trade on the Nasdaq Capital Market under the symbol “TCRT” while the appeal process is pending.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recognize research and development funding revenue over the estimated period of performance. To date we have not generated product revenue. Unless and until we receive approval from the U.S. Food and Drug Administration, or the FDA, and/or other regulatory authorities for our product candidates, we cannot sell our products and will not have product revenue.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research and development expenses have historically consisted primarily of salaries and related expenses for personnel, costs of contract manufacturing services, costs of facilities, reagents, and equipment, fees paid to professional service providers in conjunction with our clinical trials, fees paid to contract research organizations, or CROs, in conjunction with clinical trials, fees paid to CROs in conjunction with costs of materials used in research and development, consulting, license and milestone payments and sponsored research fees paid to third 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consists of severance provided to terminated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income (expense) consists primarily of interest expense associated with our amended Loan and Security Agreement (as defined below), interest income on our cash balances and sublease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2023 Compared to Three and Nine Months Ended September 30,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Collaboration revenue during the three and nine months ended September 30, 2023 and 2022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2,911</w:t>
            </w:r>
          </w:p>
        </w:tc>
        <w:tc>
          <w:tcPr>
            <w:tcW w:w="1540" w:type="dxa"/>
            <w:vAlign w:val="bottom"/>
            <w:gridSpan w:val="2"/>
          </w:tcPr>
          <w:p>
            <w:pPr>
              <w:jc w:val="right"/>
              <w:ind w:right="508"/>
              <w:spacing w:after="0"/>
              <w:rPr>
                <w:sz w:val="20"/>
                <w:szCs w:val="20"/>
                <w:color w:val="auto"/>
              </w:rPr>
            </w:pPr>
            <w:r>
              <w:rPr>
                <w:rFonts w:ascii="Arial" w:cs="Arial" w:eastAsia="Arial" w:hAnsi="Arial"/>
                <w:sz w:val="18"/>
                <w:szCs w:val="18"/>
                <w:color w:val="auto"/>
              </w:rPr>
              <w:t>$ (2,911 )</w:t>
            </w:r>
          </w:p>
        </w:tc>
        <w:tc>
          <w:tcPr>
            <w:tcW w:w="1220" w:type="dxa"/>
            <w:vAlign w:val="bottom"/>
            <w:gridSpan w:val="3"/>
          </w:tcPr>
          <w:p>
            <w:pPr>
              <w:jc w:val="right"/>
              <w:ind w:right="348"/>
              <w:spacing w:after="0"/>
              <w:rPr>
                <w:sz w:val="20"/>
                <w:szCs w:val="20"/>
                <w:color w:val="auto"/>
              </w:rPr>
            </w:pPr>
            <w:r>
              <w:rPr>
                <w:rFonts w:ascii="Arial" w:cs="Arial" w:eastAsia="Arial" w:hAnsi="Arial"/>
                <w:sz w:val="18"/>
                <w:szCs w:val="18"/>
                <w:color w:val="auto"/>
              </w:rPr>
              <w:t>(100 )%$</w:t>
            </w:r>
          </w:p>
        </w:tc>
        <w:tc>
          <w:tcPr>
            <w:tcW w:w="140" w:type="dxa"/>
            <w:vAlign w:val="bottom"/>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2,911</w:t>
            </w:r>
          </w:p>
        </w:tc>
        <w:tc>
          <w:tcPr>
            <w:tcW w:w="1480" w:type="dxa"/>
            <w:vAlign w:val="bottom"/>
            <w:gridSpan w:val="2"/>
          </w:tcPr>
          <w:p>
            <w:pPr>
              <w:jc w:val="right"/>
              <w:ind w:right="508"/>
              <w:spacing w:after="0"/>
              <w:rPr>
                <w:sz w:val="20"/>
                <w:szCs w:val="20"/>
                <w:color w:val="auto"/>
              </w:rPr>
            </w:pPr>
            <w:r>
              <w:rPr>
                <w:rFonts w:ascii="Arial" w:cs="Arial" w:eastAsia="Arial" w:hAnsi="Arial"/>
                <w:sz w:val="18"/>
                <w:szCs w:val="18"/>
                <w:color w:val="auto"/>
              </w:rPr>
              <w:t>$ (2,907 )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Collaboration revenue during the three months ended September 30, 2023 was $0 and was $4 thousand for the nine months ended September 30, 2023, as compared to $2.9 million during the three and nine months ended September 30, 2022, due to revenue earned under the Solasia License and Collaboration Agreement, which did not recur in the three and nine months ended September 30,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during the three and nine months ended September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7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  3,656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7,893</w:t>
            </w:r>
          </w:p>
        </w:tc>
        <w:tc>
          <w:tcPr>
            <w:tcW w:w="1540" w:type="dxa"/>
            <w:vAlign w:val="bottom"/>
            <w:gridSpan w:val="2"/>
          </w:tcPr>
          <w:p>
            <w:pPr>
              <w:jc w:val="right"/>
              <w:ind w:right="468"/>
              <w:spacing w:after="0"/>
              <w:rPr>
                <w:sz w:val="20"/>
                <w:szCs w:val="20"/>
                <w:color w:val="auto"/>
              </w:rPr>
            </w:pPr>
            <w:r>
              <w:rPr>
                <w:rFonts w:ascii="Arial" w:cs="Arial" w:eastAsia="Arial" w:hAnsi="Arial"/>
                <w:sz w:val="18"/>
                <w:szCs w:val="18"/>
                <w:color w:val="auto"/>
              </w:rPr>
              <w:t>$ (4,237 )</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(54 )%$ 15,346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$ 19,411</w:t>
            </w:r>
          </w:p>
        </w:tc>
        <w:tc>
          <w:tcPr>
            <w:tcW w:w="1400" w:type="dxa"/>
            <w:vAlign w:val="bottom"/>
            <w:gridSpan w:val="2"/>
          </w:tcPr>
          <w:p>
            <w:pPr>
              <w:jc w:val="right"/>
              <w:ind w:right="408"/>
              <w:spacing w:after="0"/>
              <w:rPr>
                <w:sz w:val="20"/>
                <w:szCs w:val="20"/>
                <w:color w:val="auto"/>
              </w:rPr>
            </w:pPr>
            <w:r>
              <w:rPr>
                <w:rFonts w:ascii="Arial" w:cs="Arial" w:eastAsia="Arial" w:hAnsi="Arial"/>
                <w:sz w:val="18"/>
                <w:szCs w:val="18"/>
                <w:color w:val="auto"/>
              </w:rPr>
              <w:t>$ (4,065 )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Research and development expenses for the three months ended September 30, 2023 decreased by $4.2 million when compared to the three months ended September 30, 2022, primarily due to lower program expenses of $1.0 million as a result of the wind-down of our clinical activities, a $0.6 million decrease in employee-related expenses due to our reduced headcount, an accrual adjustment related to our de-prioritized clinical programs of $0.3 million and a $2.5 million milestone payment to MD Anderson in 2022 under the terms of our patent and technology license agreement that did not recur in 2023, partially offset by a $0.2 million increase in expenses related to our KBI legal matter.</w:t>
      </w:r>
    </w:p>
    <w:p>
      <w:pPr>
        <w:spacing w:after="0" w:line="67"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Research and development expenses for the nine months ended September 30, 2023 decreased by $4.1 million when compared to the nine months ended September 30, 2022, primarily due to lower employee-related expenses of $1.5 million as a result of our reduced headcount, an accrual adjustment related to our de-prioritized clinical programs of $1.0 million, a $0.2 million decrease in facilities costs following the termination of one of our leases and a $2.5 million milestone payment to MD Anderson in 2022 under the terms of our patent and technology license agreement that did not recur in 2023. These decreases were partially offset by a $0.9 million increase in expenses related to our incremental manufacturing and hunTR efforts prior to our decision to strategically reprioritize our focus and a $0.2 million increase in expenses related to our KBI legal matter.</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4" w:name="page25"/>
    <w:bookmarkEnd w:id="24"/>
    <w:p>
      <w:pPr>
        <w:ind w:right="120"/>
        <w:spacing w:after="0" w:line="259" w:lineRule="auto"/>
        <w:rPr>
          <w:sz w:val="20"/>
          <w:szCs w:val="20"/>
          <w:color w:val="auto"/>
        </w:rPr>
      </w:pPr>
      <w:r>
        <w:rPr>
          <w:rFonts w:ascii="Arial" w:cs="Arial" w:eastAsia="Arial" w:hAnsi="Arial"/>
          <w:sz w:val="18"/>
          <w:szCs w:val="18"/>
          <w:color w:val="auto"/>
        </w:rPr>
        <w:t>For the three and nine months ended September 30, 2023, our clinical stage projects included our TCR-T Library Phase 1/2 Trial evaluating TCRs from our library for the investigational treatment of non-small cell lung, colorectal, endometrial, pancreatic, ovarian and bile duct cancers, which we are currently in the process of winding down. We expect our research and development expenses to decrease significantly going forward as we continue reducing investment in our clinical and pre-clinical programs and reduce our workforce.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during the three and nine months ended September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7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  3,578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3,282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9"/>
              <w:spacing w:after="0"/>
              <w:rPr>
                <w:sz w:val="20"/>
                <w:szCs w:val="20"/>
                <w:color w:val="auto"/>
              </w:rPr>
            </w:pPr>
            <w:r>
              <w:rPr>
                <w:rFonts w:ascii="Arial" w:cs="Arial" w:eastAsia="Arial" w:hAnsi="Arial"/>
                <w:sz w:val="18"/>
                <w:szCs w:val="18"/>
                <w:color w:val="auto"/>
              </w:rPr>
              <w:t>296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9 % $  9,791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$ 10,217</w:t>
            </w:r>
          </w:p>
        </w:tc>
        <w:tc>
          <w:tcPr>
            <w:tcW w:w="1500" w:type="dxa"/>
            <w:vAlign w:val="bottom"/>
            <w:gridSpan w:val="2"/>
          </w:tcPr>
          <w:p>
            <w:pPr>
              <w:jc w:val="right"/>
              <w:ind w:right="508"/>
              <w:spacing w:after="0"/>
              <w:rPr>
                <w:sz w:val="20"/>
                <w:szCs w:val="20"/>
                <w:color w:val="auto"/>
              </w:rPr>
            </w:pPr>
            <w:r>
              <w:rPr>
                <w:rFonts w:ascii="Arial" w:cs="Arial" w:eastAsia="Arial" w:hAnsi="Arial"/>
                <w:sz w:val="18"/>
                <w:szCs w:val="18"/>
                <w:color w:val="auto"/>
              </w:rPr>
              <w:t>$  (426 )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General and administrative expenses for the three months ended September 30, 2023 increased by $0.3 million as compared to the three months ended September 30, 2022, primarily due to higher consulting and professional services expenses of $0.9 million related to increased legal costs, partially offset by a $0.4 million decrease in employee-related expenses due to our reduced headcount and a $0.2 million decrease in insurance fees.</w:t>
      </w:r>
    </w:p>
    <w:p>
      <w:pPr>
        <w:spacing w:after="0" w:line="14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General and administrative expenses for the nine months ended September 30, 2023 decreased by $0.4 million as compared to the nine months ended September 30, 2022, primarily due to lower employee-related expenses of $0.5 million due to our reduced headcount and a $0.4 million decrease in insurance fees, partially offset by a $0.6 million increase in consulting and professional services expenses related to higher legal costs. We expect general and administrative expenses to increase in connection with our strategic reprioritization, including potential legal, accounting and advisory expenses and other related charges.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Lease Modification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Gain on lease modifications during the three and nine months ended September 30, 2023 and 2022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99"/>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9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Gain on lease modification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ind w:left="200"/>
              <w:spacing w:after="0"/>
              <w:rPr>
                <w:sz w:val="20"/>
                <w:szCs w:val="20"/>
                <w:color w:val="auto"/>
              </w:rPr>
            </w:pPr>
            <w:r>
              <w:rPr>
                <w:rFonts w:ascii="Arial" w:cs="Arial" w:eastAsia="Arial" w:hAnsi="Arial"/>
                <w:sz w:val="18"/>
                <w:szCs w:val="18"/>
                <w:color w:val="auto"/>
              </w:rPr>
              <w:t>—</w:t>
            </w:r>
          </w:p>
        </w:tc>
        <w:tc>
          <w:tcPr>
            <w:tcW w:w="1660" w:type="dxa"/>
            <w:vAlign w:val="bottom"/>
            <w:gridSpan w:val="5"/>
          </w:tcPr>
          <w:p>
            <w:pPr>
              <w:ind w:left="140"/>
              <w:spacing w:after="0"/>
              <w:rPr>
                <w:sz w:val="20"/>
                <w:szCs w:val="20"/>
                <w:color w:val="auto"/>
              </w:rPr>
            </w:pPr>
            <w:r>
              <w:rPr>
                <w:rFonts w:ascii="Arial" w:cs="Arial" w:eastAsia="Arial" w:hAnsi="Arial"/>
                <w:sz w:val="18"/>
                <w:szCs w:val="18"/>
                <w:color w:val="auto"/>
              </w:rPr>
              <w:t>—%  $   (245 )  $</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(133 )  $</w:t>
            </w:r>
          </w:p>
        </w:tc>
        <w:tc>
          <w:tcPr>
            <w:tcW w:w="1060" w:type="dxa"/>
            <w:vAlign w:val="bottom"/>
          </w:tcPr>
          <w:p>
            <w:pPr>
              <w:jc w:val="right"/>
              <w:ind w:right="459"/>
              <w:spacing w:after="0"/>
              <w:rPr>
                <w:sz w:val="20"/>
                <w:szCs w:val="20"/>
                <w:color w:val="auto"/>
              </w:rPr>
            </w:pPr>
            <w:r>
              <w:rPr>
                <w:rFonts w:ascii="Arial" w:cs="Arial" w:eastAsia="Arial" w:hAnsi="Arial"/>
                <w:sz w:val="18"/>
                <w:szCs w:val="18"/>
                <w:color w:val="auto"/>
              </w:rPr>
              <w:t>(112 )</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There was no gain on lease modification for the three months ended September 30, 2023 and 2022. Gain on lease modification during the nine months ended September 30, 2023 was $0.2 million as compared to $0.1 million during the nine months ended September 30, 2022. As a result of a real estate lease termination during the second quarter of 2023, the associated lease liability and right-of-use asset were derecognized, resulting in a gain of $0.2 million. Following a real estate lease modification during the second quarter of 2022, the associated lease liability and right-of-use asset were remeasured based on the revised lease payments, resulting in a gain of $0.1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during the three and nine months ended September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4"/>
              </w:rPr>
              <w:t>Nine Months Ended</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499"/>
              <w:spacing w:after="0"/>
              <w:rPr>
                <w:sz w:val="20"/>
                <w:szCs w:val="20"/>
                <w:color w:val="auto"/>
              </w:rPr>
            </w:pPr>
            <w:r>
              <w:rPr>
                <w:rFonts w:ascii="Arial" w:cs="Arial" w:eastAsia="Arial" w:hAnsi="Arial"/>
                <w:sz w:val="18"/>
                <w:szCs w:val="18"/>
                <w:color w:val="auto"/>
              </w:rPr>
              <w:t>419</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100 % $</w:t>
            </w:r>
          </w:p>
        </w:tc>
        <w:tc>
          <w:tcPr>
            <w:tcW w:w="540" w:type="dxa"/>
            <w:vAlign w:val="bottom"/>
          </w:tcPr>
          <w:p>
            <w:pPr>
              <w:jc w:val="right"/>
              <w:spacing w:after="0"/>
              <w:rPr>
                <w:sz w:val="20"/>
                <w:szCs w:val="20"/>
                <w:color w:val="auto"/>
              </w:rPr>
            </w:pPr>
            <w:r>
              <w:rPr>
                <w:rFonts w:ascii="Arial" w:cs="Arial" w:eastAsia="Arial" w:hAnsi="Arial"/>
                <w:sz w:val="18"/>
                <w:szCs w:val="18"/>
                <w:color w:val="auto"/>
              </w:rPr>
              <w:t>419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34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519"/>
              <w:spacing w:after="0"/>
              <w:rPr>
                <w:sz w:val="20"/>
                <w:szCs w:val="20"/>
                <w:color w:val="auto"/>
              </w:rPr>
            </w:pPr>
            <w:r>
              <w:rPr>
                <w:rFonts w:ascii="Arial" w:cs="Arial" w:eastAsia="Arial" w:hAnsi="Arial"/>
                <w:sz w:val="18"/>
                <w:szCs w:val="18"/>
                <w:color w:val="auto"/>
              </w:rPr>
              <w:t>419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right="560"/>
        <w:spacing w:after="0" w:line="341" w:lineRule="auto"/>
        <w:rPr>
          <w:sz w:val="20"/>
          <w:szCs w:val="20"/>
          <w:color w:val="auto"/>
        </w:rPr>
      </w:pPr>
      <w:r>
        <w:rPr>
          <w:rFonts w:ascii="Arial" w:cs="Arial" w:eastAsia="Arial" w:hAnsi="Arial"/>
          <w:sz w:val="16"/>
          <w:szCs w:val="16"/>
          <w:color w:val="auto"/>
        </w:rPr>
        <w:t>Restructuring costs during the three and nine months ended September 30, 2023 was $0.4 million as compared to $0 during the three and nine months ended September 30, 2022, due to severance expenses for terminated employees related to our strategic reprioritization announced in August 2023.</w:t>
      </w:r>
    </w:p>
    <w:p>
      <w:pPr>
        <w:spacing w:after="0" w:line="1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Property and Equipment and Right-of-Use Asset Impairment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and right-of-use asset impairment during the three and nine months ended September 30, 2023 and 2022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80" w:type="dxa"/>
            <w:vAlign w:val="bottom"/>
            <w:gridSpan w:val="3"/>
          </w:tcPr>
          <w:p>
            <w:pPr>
              <w:jc w:val="center"/>
              <w:ind w:left="64"/>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12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7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2023</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8"/>
                <w:szCs w:val="18"/>
                <w:color w:val="auto"/>
              </w:rPr>
              <w:t>Property and equipment and right-of-use asset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720" w:type="dxa"/>
            <w:vAlign w:val="bottom"/>
          </w:tcPr>
          <w:p>
            <w:pPr>
              <w:jc w:val="right"/>
              <w:spacing w:after="0"/>
              <w:rPr>
                <w:sz w:val="20"/>
                <w:szCs w:val="20"/>
                <w:color w:val="auto"/>
              </w:rPr>
            </w:pPr>
            <w:r>
              <w:rPr>
                <w:rFonts w:ascii="Arial" w:cs="Arial" w:eastAsia="Arial" w:hAnsi="Arial"/>
                <w:sz w:val="18"/>
                <w:szCs w:val="18"/>
                <w:color w:val="auto"/>
              </w:rPr>
              <w:t>$  1,011</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1480" w:type="dxa"/>
            <w:vAlign w:val="bottom"/>
            <w:gridSpan w:val="2"/>
          </w:tcPr>
          <w:p>
            <w:pPr>
              <w:jc w:val="right"/>
              <w:ind w:right="508"/>
              <w:spacing w:after="0"/>
              <w:rPr>
                <w:sz w:val="20"/>
                <w:szCs w:val="20"/>
                <w:color w:val="auto"/>
              </w:rPr>
            </w:pPr>
            <w:r>
              <w:rPr>
                <w:rFonts w:ascii="Arial" w:cs="Arial" w:eastAsia="Arial" w:hAnsi="Arial"/>
                <w:sz w:val="18"/>
                <w:szCs w:val="18"/>
                <w:color w:val="auto"/>
              </w:rPr>
              <w:t>$  1,011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100 % $  1,011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8"/>
              <w:spacing w:after="0"/>
              <w:rPr>
                <w:sz w:val="20"/>
                <w:szCs w:val="20"/>
                <w:color w:val="auto"/>
              </w:rPr>
            </w:pPr>
            <w:r>
              <w:rPr>
                <w:rFonts w:ascii="Arial" w:cs="Arial" w:eastAsia="Arial" w:hAnsi="Arial"/>
                <w:sz w:val="18"/>
                <w:szCs w:val="18"/>
                <w:color w:val="auto"/>
              </w:rPr>
              <w:t>$  1,011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Property and equipment and right-of-use asset impairment during the three and nine months ended September 30, 2023 was $1.0 million as compared to $0 during the three and nine months ended September 30, 2022. Following the announcement of our strategic reprioritization in August 2023, there were changes in the intended use of property and equipment and lease right-of-use asset, resulting in a third quarter 2023 impairment charge.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during the three and nine months ended September 30, 2023 and 2022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(841 )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(1,921 )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w w:val="93"/>
              </w:rPr>
              <w:t>(2,266 )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49"/>
        </w:trPr>
        <w:tc>
          <w:tcPr>
            <w:tcW w:w="38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(66 )</w:t>
            </w:r>
          </w:p>
        </w:tc>
        <w:tc>
          <w:tcPr>
            <w:tcW w:w="340" w:type="dxa"/>
            <w:vAlign w:val="bottom"/>
          </w:tcPr>
          <w:p>
            <w:pPr>
              <w:spacing w:after="0"/>
              <w:rPr>
                <w:sz w:val="21"/>
                <w:szCs w:val="21"/>
                <w:color w:val="auto"/>
              </w:rPr>
            </w:pPr>
          </w:p>
        </w:tc>
        <w:tc>
          <w:tcPr>
            <w:tcW w:w="820" w:type="dxa"/>
            <w:vAlign w:val="bottom"/>
            <w:gridSpan w:val="3"/>
          </w:tcPr>
          <w:p>
            <w:pPr>
              <w:jc w:val="right"/>
              <w:ind w:right="50"/>
              <w:spacing w:after="0"/>
              <w:rPr>
                <w:sz w:val="20"/>
                <w:szCs w:val="20"/>
                <w:color w:val="auto"/>
              </w:rPr>
            </w:pPr>
            <w:r>
              <w:rPr>
                <w:rFonts w:ascii="Arial" w:cs="Arial" w:eastAsia="Arial" w:hAnsi="Arial"/>
                <w:sz w:val="18"/>
                <w:szCs w:val="18"/>
                <w:color w:val="auto"/>
              </w:rPr>
              <w:t>(26 )%</w:t>
            </w:r>
          </w:p>
        </w:tc>
        <w:tc>
          <w:tcPr>
            <w:tcW w:w="540" w:type="dxa"/>
            <w:vAlign w:val="bottom"/>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238 %</w:t>
            </w:r>
          </w:p>
        </w:tc>
      </w:tr>
      <w:tr>
        <w:trPr>
          <w:trHeight w:val="236"/>
        </w:trPr>
        <w:tc>
          <w:tcPr>
            <w:tcW w:w="38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(1,987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1,008</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1" w:lineRule="exact"/>
        <w:rPr>
          <w:sz w:val="20"/>
          <w:szCs w:val="20"/>
          <w:color w:val="auto"/>
        </w:rPr>
      </w:pPr>
    </w:p>
    <w:p>
      <w:pPr>
        <w:ind w:right="280"/>
        <w:spacing w:after="0" w:line="307" w:lineRule="auto"/>
        <w:rPr>
          <w:sz w:val="20"/>
          <w:szCs w:val="20"/>
          <w:color w:val="auto"/>
        </w:rPr>
      </w:pPr>
      <w:r>
        <w:rPr>
          <w:rFonts w:ascii="Arial" w:cs="Arial" w:eastAsia="Arial" w:hAnsi="Arial"/>
          <w:sz w:val="17"/>
          <w:szCs w:val="17"/>
          <w:color w:val="auto"/>
        </w:rPr>
        <w:t>Other income, net, for the three months ended September 30, 2023 increased by $0.8 million as compared to the three months ended September 30, 2022, primarily due to lower interest expense associated with our former amended Loan and Security Agreement (as defined below).</w:t>
      </w:r>
    </w:p>
    <w:p>
      <w:pPr>
        <w:spacing w:after="0" w:line="14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Other expense, net for the nine months ended September 30, 2023 decreased by $1.0 million as compared to the nine months ended September 30, 2022, primarily due to lower interest expense of $0.3 million associated with our former amended Loan and Security Agreement and higher interest income of $0.7 million as a result of increasing interest rates.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have not generated any revenue from product sales. Since inception, we have incurred net losses and negative cash flows from our operations.</w:t>
      </w:r>
    </w:p>
    <w:p>
      <w:pPr>
        <w:spacing w:after="0" w:line="142"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equity securities, term debt and collaborations. Through September 30, 2023, we have received an aggregate of $729.2 million from issuances of equity.</w:t>
      </w:r>
    </w:p>
    <w:p>
      <w:pPr>
        <w:spacing w:after="0" w:line="3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August 14, 2023, we announced a strategic reprioritization of our business and wind down of our TCR-T Library Phase 1/2 Trial. In connection with the reprioritization, we have reduced our workforce by approximately 80% to date and we continue working to reduce costs in order to extend our cash runway. We continue to explore strategic alternatives, including, but not limited to, an acquisition, merger, reverse merger, sale of assets, strategic partnerships, capital raises or other transactions. We have engaged Cantor to act as strategic advisor for this process.</w:t>
      </w:r>
    </w:p>
    <w:p>
      <w:pPr>
        <w:spacing w:after="0" w:line="6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We follow the guidance of Accounting Standards Codification, or ASC, Topic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in order to determine whether there is substantial doubt about our ability to continue as a going concern for one year after the date our condensed financial statements are issued. Given our current development plans and cash management efforts, we anticipate that our cash resources will be sufficient to fund operations into the second quarter of 2024.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Based on the current cash forecast, management has determined that our present capital resources will not be sufficient to fund our planned operations for at least one year from the issuance date of the condensed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Public Offering</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November 29, 2022, we entered into an underwriting agreement, or the Underwriting Agreement, with Cantor as the sole underwriter, relating to the issuance and sale in an underwritten offering, or the Offering, of 24,228,719 shares of our common stock, or the Firm Shares, to Cantor at a price of $0.6191 per share.</w:t>
      </w:r>
    </w:p>
    <w:p>
      <w:pPr>
        <w:spacing w:after="0" w:line="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net proceeds from the Offering were $14.7 million (before accounting for the partial exercise of Cantor's option as described below) after deducting underwriting discounts and commissions and offering expenses payable by us.</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Under the terms of the Underwriting Agreement, we granted Cantor an option, exercisable for 30 days, to purchase up to an additional 3,634,307 shares of common stock, or, together with the Firm Shares, the Shares, at the same price per share as the Firm Shares. On January 5, 2023, Cantor partially exercised its option to purchase an additional 216,294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Equity Distribution Agreement</w:t>
      </w:r>
    </w:p>
    <w:p>
      <w:pPr>
        <w:spacing w:after="0" w:line="11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August 12, 2022, we entered into an Equity Distribution Agreement, or the Equity Distribution Agreement, with Piper Sandler &amp; Co., or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During the three and nine months ended September 30, 2023, there were no sales of our common stock under the Equity Distribution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Loan and Security Agreement</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August 6, 2021, we entered into a Loan and Security Agreement, or the Loan and Security Agreement, with SVB. The Loan and Security Agreement provided for an initial term loan of $25.0 million funded at the closing, or the Term A Tranche, with an additional tranche of $25.0 million available if certain funding and clinical milestones were met by August 31, 2022. The SVB Facility and related obligations under the Loan and Security Agreement were secured by substantially all of our properties, rights and assets, except for our intellectual property (which was subject to a negative pledge under the Loan and Security Agreement). In addition, the Loan and Security Agreement contained customary representations, warranties, events of default and covenants.</w:t>
      </w:r>
    </w:p>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December 28, 2021, we entered into the First Amendment to the Loan and Security Agreement. Under the terms of the First Amendment, the additional tranche, which remained unfunded, was eliminated, leaving only the Term A Tranche, which is referred to as the SVB Facility. The SVB Facility bore interest at a floating rate per annum on the outstanding loans, payable monthly, at the greater of (a) 7.75% and (b) the current published U.S. prime rate, plus a margin of 4.5%. Commencing on September 1, 2022, aggregate outstanding borrowings became repayable in twelve consecutive, equal monthly installments of principal plus accrued interest.</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outstanding obligations under the amended Loan and Security Agreement were due and payable on August 1, 2023. We also owed SVB $1.4 million as a final payment, or the Final Payment.</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March 30, 2023, we entered into a Third Amendment to the Loan and Security Agreement, or the Third Amendment. Under the terms of the Third Amendment, we were no longer required to maintain all of our operating accounts, depository accounts and excess cash with SVB, and were instead only required to maintain a single operating or depository account at Silicon Valley Bank. The Third Amendment also modified the cash collateralization requirement, such that we were required to cash collateralize the entire sum of the outstanding principal amount of the SVB Facility plus an amount equal to the Final Payment, which amount was to be reduced commensurate with each regularly scheduled monthly payment of principal and interest on the SVB Facility.</w:t>
      </w:r>
    </w:p>
    <w:p>
      <w:pPr>
        <w:spacing w:after="0" w:line="299"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On May 1, 2023, we paid SVB all amounts outstanding under the amended Loan and Security Agreement, comprised of the entire outstanding principal amount under the SVB Facility, all accrued and unpaid interest and the Final Payment. The payment was subject to a prepayment premium of 2.00%.</w:t>
      </w:r>
    </w:p>
    <w:p>
      <w:pPr>
        <w:spacing w:after="0" w:line="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our entry into the Loan and Security Agreement in August 2021, we issued to SVB warrants to purchase (i) up to 432,844 shares of our common stock, in the aggregate, and (ii) up to an additional 432,842 shares of Common Stock, in the aggregate, in the event we achieved certain clinical milestones, in each case at an exercise price per share of $2.22. In connection with our entry into the First Amendment in December 2021, we amended and restated the warrants issued to SVB. As amended and restated,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400"/>
        <w:spacing w:after="0" w:line="277" w:lineRule="auto"/>
        <w:rPr>
          <w:sz w:val="20"/>
          <w:szCs w:val="20"/>
          <w:color w:val="auto"/>
        </w:rPr>
      </w:pPr>
      <w:r>
        <w:rPr>
          <w:rFonts w:ascii="Arial" w:cs="Arial" w:eastAsia="Arial" w:hAnsi="Arial"/>
          <w:sz w:val="18"/>
          <w:szCs w:val="18"/>
          <w:color w:val="auto"/>
        </w:rPr>
        <w:t>warrants are for up to 649,615 shares of our common stock, in the aggregate, with an exercise price of $1.16 per share, or the SVB Warrants. The SVB Warrants expire on August 6, 2031.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decrease in cash and cash equivalents for the nine months ended September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(22,757 )</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(22,102 )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(157 )</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(18,138 )</w:t>
            </w:r>
          </w:p>
        </w:tc>
        <w:tc>
          <w:tcPr>
            <w:tcW w:w="9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(2,107 )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(41,052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(24,309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Cash flows from operating activities are derived by adjusting our net loss for:</w:t>
      </w:r>
    </w:p>
    <w:p>
      <w:pPr>
        <w:spacing w:after="0" w:line="62"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operating items such as depreciation, impairment and stock-based compensation; and</w:t>
      </w:r>
    </w:p>
    <w:p>
      <w:pPr>
        <w:spacing w:after="0" w:line="116" w:lineRule="exact"/>
        <w:rPr>
          <w:rFonts w:ascii="Arial" w:cs="Arial" w:eastAsia="Arial" w:hAnsi="Arial"/>
          <w:sz w:val="18"/>
          <w:szCs w:val="18"/>
          <w:color w:val="auto"/>
        </w:rPr>
      </w:pPr>
    </w:p>
    <w:p>
      <w:pPr>
        <w:ind w:left="1140" w:right="640" w:hanging="383"/>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operating activities for the nine months ended September 30, 2023 was $22.8 million, as compared to net cash used in operating activities of $22.1 million for the nine months ended September 30, 2022. The increase in net cash used in operating activities was primarily related to changes in working capital.</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cash used in operating activities for the nine months ended September 30, 2023 was primarily due to our net loss of $27.3 million, adjusted for $8.1 million of non-cash items such as depreciation, impairment charges, stock-based compensation, gain on lease modification and a decrease in the carrying amount of right-of-use lease assets, a $2.3 million decrease in accrued expenses, a $1.6 million decrease in lease liabilities, a decrease in accounts payable of $0.1 million and an increase to prepaid expenses and other current assets of $0.1 million, partially offset by a $0.5 million decrease in other non-current assets.</w:t>
      </w:r>
    </w:p>
    <w:p>
      <w:pPr>
        <w:spacing w:after="0" w:line="8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cash used in investing activities was $0.2 million for the nine months ended September 30, 2023, compared to $0.1 million for the nine months ended September 30, 2022. The increase was primarily related to the purchase of equipment to support our internal cell therapy capabilities in our Houston facilities.</w:t>
      </w:r>
    </w:p>
    <w:p>
      <w:pPr>
        <w:spacing w:after="0" w:line="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30, 2023 was $18.1 million, compared to $2.1 million for the nine months ended September 30, 2022. The increase was primarily related to the full repayment of long-term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anticipate that losses will continue for the foreseeable future. As of September 30, 2023, our accumulated deficit was approximately $907.9 million. Our actual cash requirements may vary materially from those planned because of a number of factors, including changes in the focus, direction and pace of our development programs, including those resulting from the recently announced exploration of strategic alternatives and related workforce reduction.</w:t>
      </w:r>
    </w:p>
    <w:p>
      <w:pPr>
        <w:spacing w:after="0" w:line="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September 30, 2023, we had approximately $11.9 million of cash and cash equivalents. In light of our announced strategic reprioritization and concurrent exploration of strategic alternatives, including our decision to halt work on our TCR-T Library Phase 1/2 Trial, our development programs and reducing our workforce, we anticipate our cash resources will be sufficient to fund our operations into the second quarter of 2024. In order to continue our operations beyond our forecasted runway, including if necessary to continue to explore strategic alternatives,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we may be unable to persist as a going concern for sufficient time to identify or execute on any strategic alternatives.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300"/>
        <w:spacing w:after="0" w:line="307" w:lineRule="auto"/>
        <w:rPr>
          <w:sz w:val="20"/>
          <w:szCs w:val="20"/>
          <w:color w:val="auto"/>
        </w:rPr>
      </w:pPr>
      <w:r>
        <w:rPr>
          <w:rFonts w:ascii="Arial" w:cs="Arial" w:eastAsia="Arial" w:hAnsi="Arial"/>
          <w:sz w:val="17"/>
          <w:szCs w:val="17"/>
          <w:color w:val="auto"/>
        </w:rPr>
        <w:t>Working capital as of September 30, 2023 was $8.2 million, consisting of $12.9 million in current assets and $4.7 million in current liabilities. Working capital as of December 31, 2022 was $15.7 million, consisting of $39.9 million in current assets and $24.2 million in current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commitments for operating leases relate to laboratory and office space in Houston, Texas.</w:t>
      </w:r>
    </w:p>
    <w:p>
      <w:pPr>
        <w:spacing w:after="0" w:line="1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March 12, 2019, we entered into a lease agreement for office space in Houston at MD Anderson through April 2021. On October 15, 2019, we entered into another lease agreement for additional office and laboratory space in Houston through February 2027. On April 7, 2020, we entered into amendments to our existing lease to lease additional office and laboratory space in Houston through February 2027. On December 15, 2020, we entered into a second lease in Houston with MD Anderson which provided us additional office and laboratory space through April 2028.</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April 2022, we modified our real estate lease agreement executed on December 15, 2020 with MD Anderson. The modification reduced our leased space from 18,111 square feet to 3,228 square feet. As a result, the associated lease liability and right-of-use asset were remeasured to $0.4 million based on revised lease payments.</w:t>
      </w:r>
    </w:p>
    <w:p>
      <w:pPr>
        <w:spacing w:after="0" w:line="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2023, we executed an agreement to terminate the lease for our remaining office space in Boston, Massachusetts. Under the terms of the lease termination, we were required to pay a $0.2 million termination fee. Additionally, we have been released from a sub-sublease of certain of our office space in Boston signed in June 2022 as it has been assigned to the Boston office space's landlord in conjunction with the agreement to terminate the lease for the remaining office space.</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August 2023, in accordance with the lease agreement executed on December 15, 2020, we provided notification to the landlord to terminate office space of 3,228 square feet in Houston, Texas. As a result, the associated lease liability and right-of-use asset were remeasured to $19 thousand, reflecting the revised lease payments and term end date of November 2023.</w:t>
      </w:r>
    </w:p>
    <w:p>
      <w:pPr>
        <w:spacing w:after="0" w:line="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November 1, 2023, we and MD Anderson, as landlord, agreed to mutually terminate the leases dated October 15, 2019 and April 7, 2020, which represent office space totaling 14,037 square feet. The termination will be effective November 15, 2023 and we have agreed to make a final payment of $0.1 million to the landlord.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and License Fees</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May 28, 2019, we entered into a patent license agreement, or the Patent License, with the NCI. The terms of the Patent License require us to pay the NCI minimum annual royalties in the amount of $0.3 million, which will be reduced to $0.1 million once the aggregate minimum annual royalties paid by us equals $1.5 million. For the three months ended September 30, 2023 and 2022, we recognized $0 related to royalty payments under the Patent License, and we recognized $0.3 million in royalty payments under the Patent License for the nine months ended September 30, 2023 and 2022. As of September 30, 2023, we have paid a total of $0.8 million in minimum annual royalty payments under the Patent License.</w:t>
      </w:r>
    </w:p>
    <w:p>
      <w:pPr>
        <w:spacing w:after="0" w:line="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due upon the initiation of our TCR-T Library Phase 1/2 Trial. In addition, we are required to pay the NCI one-time benchmark payments following aggregate net sales of licensed products at certain aggregate net sales ranging from $250.0 million to $1.0 billion. The aggregate potential amount of these benchmark payments is $12.0 million. No payments were made during the three and nine months ended September 30, 2023, as compared to $0.1 million during the three and nine months ended September 30, 2022. On October 27, 2023, we provided the NCI the requisite notice of our intent to terminate the Patent License, effective 60 days from such notice.</w:t>
      </w:r>
    </w:p>
    <w:p>
      <w:pPr>
        <w:spacing w:after="0" w:line="7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October 5, 2018, we entered into the License Agreement with PGEN Therapeutics, Inc., or PGEN, a wholly owned subsidiary of Precigen. Except where the context otherwise requires, we refer to PGEN and Precigen together as Precigen. Under the License Agreement, we were obligated to pay Precigen an annual licensing fee of $0.1 million expected to be paid through the term of the License Agreement and we had also agreed to reimburse certain historical costs of Precigen up to $1.0 million.</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terms of the License Agreement, we were responsible for contingent milestone payments totaling up to an additional $52.5 million for each exclusively licensed program upon the initiation of later stage clinical trials and upon the approval of exclusively licensed products in various jurisdictions. In addition, we were also required to pay Precigen tiered royalties ranging from low-single digits to high-single digits on the net sales derived from the sale of any approved IL-12 products and CAR products as well as royalties ranging from low-single digits to mid-single digits on the net sales derived from the sales of any approved TCR products, up to a maximum royalty amount of $100.0 million in the aggregate. We were also required to pay Precigen 20% of any sublicensing income received by us relating to the licensed products. We were also responsible for all development costs associated with each of the licensed products. Precigen was required to pay us royalties ranging from low-single digits to mid-single digits on the net sales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 xml:space="preserve">derived from the sale of Precigen's CAR products, up to a maximum royalty amount of $100.0 million. Pursuant to the A&amp;R License Agreement, all royalty and milestone obligations between us and Precigen have been removed, and annual license payments due to Precigen have been reduced from $100 thousand to $75 thousand. Payment of the licensing fee is scheduled annually in the fourth quarter; therefore, in accordance with the terms of the agreement, no amounts were paid during the three and nine months ended September 30, 2023 and 2022. The Company has discovered multiple proprietary TCRs targeting driver mutations through its hunTR TCR discovery platform, including many of the same </w:t>
      </w:r>
      <w:r>
        <w:rPr>
          <w:rFonts w:ascii="Arial" w:cs="Arial" w:eastAsia="Arial" w:hAnsi="Arial"/>
          <w:sz w:val="18"/>
          <w:szCs w:val="18"/>
          <w:i w:val="1"/>
          <w:iCs w:val="1"/>
          <w:color w:val="auto"/>
        </w:rPr>
        <w:t>KRAS</w:t>
      </w:r>
      <w:r>
        <w:rPr>
          <w:rFonts w:ascii="Arial" w:cs="Arial" w:eastAsia="Arial" w:hAnsi="Arial"/>
          <w:sz w:val="18"/>
          <w:szCs w:val="18"/>
          <w:color w:val="auto"/>
        </w:rPr>
        <w:t xml:space="preserve"> and </w:t>
      </w:r>
      <w:r>
        <w:rPr>
          <w:rFonts w:ascii="Arial" w:cs="Arial" w:eastAsia="Arial" w:hAnsi="Arial"/>
          <w:sz w:val="18"/>
          <w:szCs w:val="18"/>
          <w:i w:val="1"/>
          <w:iCs w:val="1"/>
          <w:color w:val="auto"/>
        </w:rPr>
        <w:t>TP53</w:t>
      </w:r>
      <w:r>
        <w:rPr>
          <w:rFonts w:ascii="Arial" w:cs="Arial" w:eastAsia="Arial" w:hAnsi="Arial"/>
          <w:sz w:val="18"/>
          <w:szCs w:val="18"/>
          <w:color w:val="auto"/>
        </w:rPr>
        <w:t xml:space="preserve"> mutations as licensed from the NCI.</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June 2022, Solasia Pharma K. K., or Solasia, announced that darinaparsin had been approved from relapsed or refractory Peripheral T-Cell Lymphoma by the Ministry of Health, Labor and Welfare in Japan. During the three months ended September 30, 2023, the Company did not record collaboration revenue and during the nine months ended September 30, 2023, the Company recorded collaboration revenue of $4 thousand under the License and Collaboration Agreement, dated March 7, 2011, as amended on July 31, 2014 between Solasia and us, compared to $2.9 million for the three and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Annual Report on Form 10-K for the year ended December 31, 2022, our most critical accounting policies and estimates upon which our financial status depends were identified as those relating to clinical trial expenses and other research and development expenses; collaboration agreements; fair value measurements for stock-based compensation; and income taxes. We reviewed our policies and determined that those policies remain our most critical accounting policies for the three and nine months ended September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a smaller reporting company, as defined by Rule 12b-2 under the Securities Exchange Act of 1934, as amended, or the Exchange Act, we are not required to provide the information under this item.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management, with the participation of our principal executive officer and principal accounting officer, has evaluated the effectiveness of our disclosure controls and procedures (as defined in Rules 13a-15(e) or 15d-15(e) under the Exchange Act) as of September 30, 2023.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2023, our principal executive officer and principal accounting officer concluded that, as of such date, our disclosure controls and procedures were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There were no changes in our internal control over financial reporting (as defined in Rule 13(a)-15(f) of the Exchange Act) that occurred during the quarter ended September 30, 2023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62" w:lineRule="exact"/>
        <w:rPr>
          <w:sz w:val="20"/>
          <w:szCs w:val="20"/>
          <w:color w:val="auto"/>
        </w:rPr>
      </w:pPr>
    </w:p>
    <w:p>
      <w:pPr>
        <w:ind w:right="540"/>
        <w:spacing w:after="0" w:line="307" w:lineRule="auto"/>
        <w:rPr>
          <w:sz w:val="20"/>
          <w:szCs w:val="20"/>
          <w:color w:val="auto"/>
        </w:rPr>
      </w:pPr>
      <w:r>
        <w:rPr>
          <w:rFonts w:ascii="Arial" w:cs="Arial" w:eastAsia="Arial" w:hAnsi="Arial"/>
          <w:sz w:val="17"/>
          <w:szCs w:val="17"/>
          <w:color w:val="auto"/>
        </w:rPr>
        <w:t>As of September 30, 2023, based on information readily available, other than as described below, there are no material matters that, in the opinion of management, are likely to result in a material adverse effect on our financial position,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KBI Biopharma Litigation</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March 17, 2023, KBI Biopharma, Inc., or KBI, filed a complaint against us in the District Court of Harris County, Texas, 165th Judicial District, asserting breach of an Amended and Restated Master Services Agreement between us and KBI relating to the development of an autologous gene modified T-cell therapy product, or the KBI Agreement. KBI was primarily seeking unspecified monetary damages in excess of $3.2 million. On May 1, 2023, we filed an answer generally denying all of KBI’s allegations and asserting affirmative and other defenses as well as counterclaims for breach of the KBI Agreement and conversion. On October 20, 2023, we entered into an agreement with KBI to settle all claims asserted by KBI against us and our counterclaims against KBI at issue in the litigation for $1.0 million. As a result, we have accrued $1.0 million as of September 30, 2023 for the settlement.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following important factors could cause our actual business and financial results to differ materially from those contained in forward-looking statements made in this Quarterly Report on Form 10-Q or elsewhere by management from time to time. The risk factors in this Quarterly Report have been revised to incorporate changes to our risk factors from those included in our Annual Report. The risk factors set forth below with an asterisk (*) before the title are new risk factors or ones containing substantive changes from the risk factors previously disclosed in Item 1A of our Annual Report, as filed with the SEC. The market price of our common stock could decline if one or more of these risks or uncertainties actually occur, causing you to lose all or part of your investment. This situation is changing rapidly and additional impacts may arise. Additional risks that we currently do not know about, or that we currently believe to be immaterial, may also impair our business. Certain statements below are forward-looking statements. See “Special Note Regarding Forward-Looking Statements” in this Quarterly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STRATEGIC REPRIORITIZATION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strategic reprioritization may not be successful, may not yield the desired results and we may be unsuccessful in identifying and implementing any strategic transaction.</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14, 2023, we announced a strategic reprioritization of our business and wind down of our TCR-T Library Phase 1/2 Trial. In connection with the reprioritization, we have reduced our workforce by approximately 80% to date and we continue working to reduce costs in order to extend our cash runway. We continue to explore strategic alternatives, including, but not limited to, an acquisition, merger, reverse merger, sale of assets, strategic partnerships, capital raises or other transactions. We have engaged Cantor to act as strategic advisor for this process.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there is value in our hunTR TCR discovery platform. However, the platform is experimental. There can be no assurances that we can succeed in improving the platform’s appeal and increasing its value. We may be unable to successfully monetize the platform or any TCRs we discovered, either through partnerships or out-licensing.</w:t>
      </w:r>
    </w:p>
    <w:p>
      <w:pPr>
        <w:spacing w:after="0" w:line="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expect to devote substantial time and resources to exploring strategic alternatives that our Board of Directors believes will maximize stockholder value. Despite devoting significant efforts to identify and evaluate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and our Board of Directors has not approved a definitive course of action. Additionally, there can be no assurances that any particular course of action, business arrangement or transaction, or series of transactions, will be pursued, successfully consummated or lead to increased stockholder value or that we will make any additional cash distributions to our stockholders.</w:t>
      </w:r>
    </w:p>
    <w:p>
      <w:pPr>
        <w:spacing w:after="0" w:line="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process of continuing to evaluate these strategic options may be very costly, time-consuming and complex and we have incurred, and may in the future incur, significant costs related to this continued evaluation, such as legal and accounting fees and expenses and other related charges. We may also incur additional unanticipated expenses in connection with this process. A considerable portion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220"/>
        <w:spacing w:after="0" w:line="277" w:lineRule="auto"/>
        <w:rPr>
          <w:sz w:val="20"/>
          <w:szCs w:val="20"/>
          <w:color w:val="auto"/>
        </w:rPr>
      </w:pPr>
      <w:r>
        <w:rPr>
          <w:rFonts w:ascii="Arial" w:cs="Arial" w:eastAsia="Arial" w:hAnsi="Arial"/>
          <w:sz w:val="18"/>
          <w:szCs w:val="18"/>
          <w:color w:val="auto"/>
        </w:rPr>
        <w:t>these costs will be incurred regardless of whether any such course of action is implemented or transaction is completed. Any such expenses will decrease the remaining cash available for use in our business.</w:t>
      </w:r>
    </w:p>
    <w:p>
      <w:pPr>
        <w:spacing w:after="0" w:line="6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addition, potential counterparties in a strategic transaction involving the Company may place minimal or no value on our assets or our public listing. Further, should we resume the development of our product candidates,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 involving the Company may choose not to spend additional resources and continue development of our product candidates and may attribute little or no value, in such a transaction, to those product candidates.</w:t>
      </w:r>
    </w:p>
    <w:p>
      <w:pPr>
        <w:spacing w:after="0" w:line="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any strategic business combination or other transactions that we may consummate in the future could have a variety of negative consequences and we may implement a course of action or consummate a transaction that yields unexpected results that adversely affect our business and decreases the remaining cash available for use in our business or the execution of our strategic plan.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Any failure of such potential transaction to achieve the anticipated results could significantly impair our ability to enter into any future strategic transactions and may significantly diminish or delay any future distributions to our stockholders.</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we are not successful in setting forth a new strategic path for the Company,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w:t>
      </w:r>
    </w:p>
    <w:p>
      <w:pPr>
        <w:spacing w:after="0" w:line="185" w:lineRule="exact"/>
        <w:rPr>
          <w:sz w:val="20"/>
          <w:szCs w:val="20"/>
          <w:color w:val="auto"/>
        </w:rPr>
      </w:pPr>
    </w:p>
    <w:p>
      <w:pPr>
        <w:ind w:right="860"/>
        <w:spacing w:after="0" w:line="307" w:lineRule="auto"/>
        <w:rPr>
          <w:sz w:val="20"/>
          <w:szCs w:val="20"/>
          <w:color w:val="auto"/>
        </w:rPr>
      </w:pPr>
      <w:r>
        <w:rPr>
          <w:rFonts w:ascii="Arial" w:cs="Arial" w:eastAsia="Arial" w:hAnsi="Arial"/>
          <w:sz w:val="17"/>
          <w:szCs w:val="17"/>
          <w:b w:val="1"/>
          <w:bCs w:val="1"/>
          <w:i w:val="1"/>
          <w:iCs w:val="1"/>
          <w:color w:val="auto"/>
        </w:rPr>
        <w:t>*Even if we successfully consummate a transaction from our strategic assessment, we may fail to realize all of the anticipated benefits of the transaction, those benefits may take longer to realize than expected, or we may encounter integration difficulties.</w:t>
      </w:r>
    </w:p>
    <w:p>
      <w:pPr>
        <w:spacing w:after="0" w:line="3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Our ability to realize the anticipated benefits of any potential business combination or any other result from our strategic assessment is highly uncertain. Any anticipated benefits will depend on a number of factors, including our ability to integrate with any future business partner, the success of any future business we may engage in following the transaction and our ability to obtain value for our product candidates or technologies, if divested. The process may be disruptive to our business and the expected benefits may not be achieved within the anticipated timeframe, or at all. The failure to meet the challenges involved and to realize the anticipated benefits of any potential transaction could adversely affect our business and financial condition. Furthermore, our stockholders may experience substantial dilution as a result of the transaction without receiving the expected commensurate benefit, or only receiving part of the commensurate benefit to the extent we are able to realize only part of the expected strategic and financial benefits currently anticipated from a transaction.</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financial resources to continue as a going concern, including through the strategic review process, and if we raise additional funds, this may affect the value of your investment in our common stock.</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For the nine months ended September 30, 2023, we had a net loss of $27.3 million, and, as of September 30, 2023, our accumulated deficit since inception in 2003 was $907.9 million. Although we are in the process of implementing a restructuring plan, or the Plan, whereby we are winding down our TCR-T Library Phase 1/2 Trial, other development programs and implementing a reduction in force, in order to reduce operating expenditures and net losses, as discussed above, there can be no assurances we will be successful at all, or in the amount we anticipate. In connection with our strategic reprioritization, we unilaterally terminated the CRADA in August 2023 and have provided the NCI notice of our intent to terminate the Patent License.</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September 30, 2023, we have approximately $11.9 million of cash and cash equivalents. Following implementation of the Plan, we anticipate our cash resources will be sufficient to fund our operations into the second quarter of 2024. We have not set a timetable for completion of the strategic review process and the timing of consummating a strategic transaction, if any, is not entirely within our control. We have no committed sources of additional capital at this time. Accordingly, we could exhaust our current cash resources prior to the identification or consummation of a suitable strategic alternative, requiring the Company to raise additional capital.</w:t>
      </w:r>
    </w:p>
    <w:p>
      <w:pPr>
        <w:spacing w:after="0" w:line="8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anticipate that our exploration of strategic alternatives will make it more difficult to raise additional capital. 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which may further constrain our ability to execute on strategic alternatives.</w:t>
      </w:r>
    </w:p>
    <w:p>
      <w:pPr>
        <w:spacing w:after="0" w:line="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We follow the guidance of Accounting Standards Codification, or ASC, Topic 205-40,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in order to determine whether there is substantial doubt about our ability to continue as a going concern for one year after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ind w:right="160"/>
        <w:spacing w:after="0" w:line="263" w:lineRule="auto"/>
        <w:rPr>
          <w:sz w:val="20"/>
          <w:szCs w:val="20"/>
          <w:color w:val="auto"/>
        </w:rPr>
      </w:pPr>
      <w:r>
        <w:rPr>
          <w:rFonts w:ascii="Arial" w:cs="Arial" w:eastAsia="Arial" w:hAnsi="Arial"/>
          <w:sz w:val="18"/>
          <w:szCs w:val="18"/>
          <w:color w:val="auto"/>
        </w:rPr>
        <w:t>date our condensed financial statements are issued. Based on the current cash forecast, management has determined that our present capital resources will not be sufficient to fund our planned operations for at least one year from the issuance date of the condensed financial statements, which raises substantial doubt as to our ability to continue as a going concern.</w:t>
      </w:r>
    </w:p>
    <w:p>
      <w:pPr>
        <w:spacing w:after="0" w:line="7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forecast of cash resources is forward-looking information that involves risks and uncertainties, and our actual cash requirements may vary materially from our current expectations for a number of other factors that may include, but are not limited to, the progress of our strategic review and the pursuit of and progress on one or more options identified in such review. Global political and economic events, including the war in Ukraine and increased inflation, have already resulted in a significant disruption of global financial markets. If the disruption persists and deepens, we could experience an inability to access additional capital or make the terms of any available financing less attractive, which could in the future negatively affect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successful in completing a strategic transaction, we may be exposed to other operational and financial risks.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Although there can be no assurance that a strategic transaction will result from the process we have undertaken to identify and evaluate strategic alternatives, the negotiation and consummation of any such transaction will require significant time on the part of our management, and the diversion of management’s attention may disrupt our business.</w:t>
      </w:r>
    </w:p>
    <w:p>
      <w:pPr>
        <w:spacing w:after="0" w:line="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negotiation and consummation of any such transaction may also require more time or greater cash resources than we anticipate and expose us to other operational and financial risks, including:</w:t>
      </w:r>
    </w:p>
    <w:p>
      <w:pPr>
        <w:spacing w:after="0" w:line="62"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near-term and long-term expenditures;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than expected acquisition or integration costs;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fund future operations;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write-downs of assets or incurrence of non-recurring, impairment or other charges;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counterparty business with our operations and personnel;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 due to changes in management and ownership;</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retain key employees of our company or any acquired business;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possibility of future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risks could have a material adverse effect on our business, financial condition and prospects.</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a strategic transaction is not consummated,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There can be no assurance that a strategic transaction will be completed. If a strategic transaction is not completed,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and exploration of strategic alternatives.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consummate a strategic transaction depends on our ability to retain our remaining employees.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ability to consummate a strategic transaction depends upon our ability to retain our remaining employees, the loss of whose services may adversely impact our ability to consummate such transaction. In connection with the evaluation of strategic alternatives and in order to extend our resources, on August 14, 2023, we implemented the Plan that included reducing our workforce.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20"/>
        <w:spacing w:after="0" w:line="279" w:lineRule="auto"/>
        <w:rPr>
          <w:sz w:val="20"/>
          <w:szCs w:val="20"/>
          <w:color w:val="auto"/>
        </w:rPr>
      </w:pPr>
      <w:r>
        <w:rPr>
          <w:rFonts w:ascii="Arial" w:cs="Arial" w:eastAsia="Arial" w:hAnsi="Arial"/>
          <w:sz w:val="17"/>
          <w:szCs w:val="17"/>
          <w:color w:val="auto"/>
        </w:rPr>
        <w:t>reduction in force has impacted approximately 80% of our workforce to date, including key members of our management team. Our cash conservation activities may yield unintended consequences, such as attrition beyond our planned reduction in workforce and reduced employee morale, which may cause remaining employees to seek alternative employment. If we are unable to successfully retain our remaining personnel, we are at risk of a disruption to our exploration and consummation of a strategic alternative as well as business operations.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August 14, 2023, in connection with the evaluation of strategic alternatives and in order to extend our resources, our Board of Directors approved the Plan that included reducing our workforce, which has impacted approximately 80% of our workforce to date. In addition, the Plan included a discontinuation of our clinical development programs and further prioritization of our resources as we assess strategic alternatives. We estimate that we will incur approximately $2.5 to $3.0 million for retention, severance and other employee termination-related costs starting in the third quarter of 2023 through to the second quarter of 2024.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the Plan may be disruptive to our operations. For example, our headcount reductions could yield unanticipated consequences, such as increased difficulties in implementing our business strategy, including retention of our remaining employees. Any employee litigation related to the headcount reduction could be costly and prevent management from fully concentrating on the business.</w:t>
      </w:r>
    </w:p>
    <w:p>
      <w:pPr>
        <w:spacing w:after="0" w:line="7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Any future growth would impose significant added responsibilities on members of management, including the need to identify, recruit, maintain and integrate additional employees.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regulatory, technical operations, and commercial functions, should we choose to continue to pursue them, which would have a negative impact on our ability to successfully develop, and ultimately, commercialize our product candidates. Our future financial performance and our ability to develop our product candidates or additional assets will depend, in part, on our ability to effectively manage any future growth or restructuring, as the case may be.</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become involved in litigation, including securities class action litigation, that could divert management’s attention and harm the Company’s business, and insurance coverage may not be sufficient to cover all costs and damages.</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past, litigation, including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 or other governmental agencies.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received a Delisting Determination from Nasdaq. Delisting could prevent us from maintaining an active, liquid and orderly trading market for our common stock and may impact our ability to consummate certain strategic transactions.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ability to publicly or privately sell equity securities and the liquidity of our common stock could be adversely affected if we are delisted from the Nasdaq Capital Market or if we are unable to transfer our listing to another stock market. On January 4, 2023, we were notified by The Nasdaq Stock Market LLC, or Nasdaq, that we were in breach of Listing Rule 5450(a)(1), or the Minimum Bid Price Rule, for continued listing on the Nasdaq Global Select Market because the minimum bid price of our listed securities for 30 consecutive business days had been less than $1 per share. In accordance with Nasdaq Listing Rule 5810(c)(3)(A), or the Compliance Period Rule, we were provided a period of 180 calendar days, or until July 3, 2023, or the Compliance Date, to regain compliance with the Bid Price Requirement. On June 22, 2023, we applied to transfer our listing from the Nasdaq Global Select Market to the Nasdaq Capital Market, or the Transfer. On July 5, 2023, Nasdaq notified us that the Transfer was approved, and that, in connection with the Transfer, we were eligible for an additional 180 calendar day period, or until January 2, 2024, or the Extended Compliance Date, to regain compliance with the Minimum Bid Price Rule.</w:t>
      </w:r>
    </w:p>
    <w:p>
      <w:pPr>
        <w:spacing w:after="0" w:line="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November 8, 2023, we received the Delisting Determination notifying us that, because the closing bid price for our common stock was below $0.10 per share for 10 consecutive trading days during the Extended Compliance Period, the Staff has determined to suspend trading of our common stock on Nasdaq pursuant to Nasdaq Listing Rule 5810(c)(3)(A)(iii), effective November 17, 2023, and file a Form 25-NSE with the SEC to remove our common stock from listing and registration under the Securities Exchange Act of 1934, as amended, unless we timely request an appeal of the Delisting Determination to the Panel. We intend to timely request 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line="273" w:lineRule="auto"/>
        <w:rPr>
          <w:sz w:val="20"/>
          <w:szCs w:val="20"/>
          <w:color w:val="auto"/>
        </w:rPr>
      </w:pPr>
      <w:r>
        <w:rPr>
          <w:rFonts w:ascii="Arial" w:cs="Arial" w:eastAsia="Arial" w:hAnsi="Arial"/>
          <w:sz w:val="17"/>
          <w:szCs w:val="17"/>
          <w:color w:val="auto"/>
        </w:rPr>
        <w:t>hearing before the Panel to appeal the Delisting Determination and expect a hearing before the Panel to be scheduled where we will seek to remain listed until we are able to consummate a strategic transaction, if ever. Following the hearing, we expect the Panel to issue a written decision that will determine whether our common stock will remain listed on Nasdaq. While we expect our common stock will continue to trade on the Nasdaq Capital Market under the symbol “TCRT” while the appeal process is pending, if the Panel is unwilling to reverse the Staff's delisting determination and provide us an additional extension to regain compliance with the Minimum Bid Price Rule, our common stock will be delisted. No assurances can be provided that an extension will be granted or that a favorable decision will be obtained from the Panel at the hearing.</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our common stock is delisted by Nasdaq, it could lead to a number of negative implications, including an adverse effect on the price of our common stock, deterring broker-dealers from making a market in or 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customers, collaborators, vendors, suppliers and employees, which could harm our business and future prospects.</w:t>
      </w:r>
    </w:p>
    <w:p>
      <w:pPr>
        <w:spacing w:after="0" w:line="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If our common stock is delisted from Nasdaq, trading in our securities may be subject to the SEC’s “penny stock” rules. These “penny stock” rules will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 Furthermore, if our common stock is delisted, we would expect it to have an adverse impact on our ability to consummate certain strategic alternatives.</w:t>
      </w:r>
    </w:p>
    <w:p>
      <w:pPr>
        <w:spacing w:after="0" w:line="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 if our common stock is delisted, we would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a reverse stock split of our common stock, but it may not result in us obtaining the intended benefits.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stockholders have approved a reverse stock split of the issued and outstanding shares of our common stock, our treasury stock, and a proportionate reduction in the shares of our authorized common stock, if needed in the discretion of our Board of Directors to regain compliance with the Minimum Bid Price Rule, at a ratio between the range of 1-for-5 and 1-for-15, inclusive, at any time on or before June 6, 2024. However, if we do effect a reverse stock split, there can be no assurance that the market price per new share of our common stock after the reverse stock split will remain unchanged or increase in proportion to the reduction in the number of old shares of our common stock outstanding before the reverse stock split. Other factors, such as our financial results, market conditions and the market perception of our business may adversely affect the market price of our common stock and there can be no assurance that a reverse stock split, if completed, will result in the intended benefits, that the market price of our common stock will increase in proportion to the reduction in the number of shares of our common stock outstanding before the reverse stock split or that the market price of our common stock will not decrease in the future. If the market price of our common stock does not increase the price per share of our common stock above Nasdaq’s minimum bid price threshold of $1.00 per share or if the market price of our common stock does not remain above Nasdaq’s minimum bid price threshold of $1.00 per share, our common stock may still be delisted from Nasdaq. There is also no guarantee that the Panel agrees that implementing a reverse stock split warrants reversing the Staff's delisting determination, regardless of the price at which our common stock would trade following the split.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implement a reverse stock split, liquidity of our common stock may be adversely affected.</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we do effect a reverse stock split to avoid a delisting pursuant to the Delisting Determination, the liquidity of the shares of our common stock may be affected adversely by any such reverse stock split given the reduced number of shares of common stock that will be outstanding following the reverse stock split, especially if the market price of our common stock does not increase as a result of the reverse stock split.</w:t>
      </w:r>
    </w:p>
    <w:p>
      <w:pPr>
        <w:spacing w:after="0" w:line="5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Following any reverse stock split, the resulting market price of our common stock may not attract new investors and may not satisfy the investing requirements of those investors. Although we believe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191" w:lineRule="exact"/>
        <w:rPr>
          <w:sz w:val="20"/>
          <w:szCs w:val="20"/>
          <w:color w:val="auto"/>
        </w:rPr>
      </w:pPr>
    </w:p>
    <w:p>
      <w:pPr>
        <w:ind w:right="140"/>
        <w:spacing w:after="0" w:line="380" w:lineRule="auto"/>
        <w:rPr>
          <w:sz w:val="20"/>
          <w:szCs w:val="20"/>
          <w:color w:val="auto"/>
        </w:rPr>
      </w:pPr>
      <w:r>
        <w:rPr>
          <w:rFonts w:ascii="Arial" w:cs="Arial" w:eastAsia="Arial" w:hAnsi="Arial"/>
          <w:sz w:val="15"/>
          <w:szCs w:val="15"/>
          <w:b w:val="1"/>
          <w:bCs w:val="1"/>
          <w:i w:val="1"/>
          <w:iCs w:val="1"/>
          <w:color w:val="auto"/>
        </w:rPr>
        <w:t>*We may identify material weaknesses in the future or otherwise fail to maintain an effective system of internal controls, which may result in material misstatements of our condensed financial statements or could have a material adverse effect on our business and trading price of our securities.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20"/>
        <w:spacing w:after="0" w:line="275"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Nasdaq Capital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6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condensed financial statements will not be prevented or detected on a timely basis.</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condensed financial statements. Furthermore, if we cannot provide reliable financial reports or prevent fraud, our business and results of operations could be harmed and investors could lose confidence in our reported financial information.</w:t>
      </w:r>
    </w:p>
    <w:p>
      <w:pPr>
        <w:spacing w:after="0" w:line="18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development and commercialization of non-viral adoptive TCR-T cell therapies could be considered a new approach to cancer treatment, the successful development of which is subject to significant challenges.</w:t>
      </w:r>
    </w:p>
    <w:p>
      <w:pPr>
        <w:spacing w:after="0" w:line="6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have employed technologies such as the technology licensed from MD Anderson pursuant to the MD Anderson License, described above, from Precigen, pursuant to the A&amp;R License Agreement, and from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is subject to a number of challenges, including:</w:t>
      </w:r>
    </w:p>
    <w:p>
      <w:pPr>
        <w:spacing w:after="0" w:line="48" w:lineRule="exact"/>
        <w:rPr>
          <w:sz w:val="20"/>
          <w:szCs w:val="20"/>
          <w:color w:val="auto"/>
        </w:rPr>
      </w:pPr>
    </w:p>
    <w:p>
      <w:pPr>
        <w:ind w:left="760" w:right="2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very limited experience with the commercial development of genetically modified T-cell therapies for cancer;</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designing and conducting our clinical trials using this new approach or selecting the appropriate TCRs in a way that may lead to optimal results;</w:t>
      </w:r>
    </w:p>
    <w:p>
      <w:pPr>
        <w:spacing w:after="0" w:line="139" w:lineRule="exact"/>
        <w:rPr>
          <w:rFonts w:ascii="Arial" w:cs="Arial" w:eastAsia="Arial" w:hAnsi="Arial"/>
          <w:sz w:val="16"/>
          <w:szCs w:val="16"/>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and manufacturing appropriate TCRs from either the patient or third parties that can be administered to the patient;</w:t>
      </w:r>
    </w:p>
    <w:p>
      <w:pPr>
        <w:spacing w:after="0" w:line="116" w:lineRule="exact"/>
        <w:rPr>
          <w:rFonts w:ascii="Arial" w:cs="Arial" w:eastAsia="Arial" w:hAnsi="Arial"/>
          <w:sz w:val="18"/>
          <w:szCs w:val="18"/>
          <w:color w:val="auto"/>
        </w:rPr>
      </w:pPr>
    </w:p>
    <w:p>
      <w:pPr>
        <w:ind w:left="760" w:right="3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deploying consistent and reliable processes for engineering a patient’s and/or donor’s T-cells ex vivo and infusing the T cells back into the patient;</w:t>
      </w:r>
    </w:p>
    <w:p>
      <w:pPr>
        <w:spacing w:after="0" w:line="61" w:lineRule="exact"/>
        <w:rPr>
          <w:rFonts w:ascii="Arial" w:cs="Arial" w:eastAsia="Arial" w:hAnsi="Arial"/>
          <w:sz w:val="18"/>
          <w:szCs w:val="18"/>
          <w:color w:val="auto"/>
        </w:rPr>
      </w:pPr>
    </w:p>
    <w:p>
      <w:pPr>
        <w:ind w:left="760" w:right="44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conditioning patients with chemotherapy in conjunction with delivery of the potential products, which may increase the risk of adverse side effects of the chemotherapy itself or of the potential products;</w:t>
      </w:r>
    </w:p>
    <w:p>
      <w:pPr>
        <w:spacing w:after="0" w:line="61" w:lineRule="exact"/>
        <w:rPr>
          <w:rFonts w:ascii="Arial" w:cs="Arial" w:eastAsia="Arial" w:hAnsi="Arial"/>
          <w:sz w:val="18"/>
          <w:szCs w:val="18"/>
          <w:color w:val="auto"/>
        </w:rPr>
      </w:pPr>
    </w:p>
    <w:p>
      <w:pPr>
        <w:ind w:left="760" w:right="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the potential products, such as the potential adverse side effects related to cytokine release;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6"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potential products, including long-term follow-up for all patients who receive the potential products;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sourcing additional clinical and, if approved, commercial supplies for the materials used to manufacture and process the potential products;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 manufacturing process with a cost of goods that allows for an attractive return on investment;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therapies for types of cancers beyond those addressed by the current potential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and defending the intellectual property rights relating to any products we develop;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760" w:right="18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infringing the intellectual property rights, in particular, the patent rights, of third parties, including competitors, such as those developing T-cell therapies; and</w:t>
      </w:r>
    </w:p>
    <w:p>
      <w:pPr>
        <w:spacing w:after="0" w:line="61" w:lineRule="exact"/>
        <w:rPr>
          <w:rFonts w:ascii="Arial" w:cs="Arial" w:eastAsia="Arial" w:hAnsi="Arial"/>
          <w:sz w:val="18"/>
          <w:szCs w:val="18"/>
          <w:color w:val="auto"/>
        </w:rPr>
      </w:pPr>
    </w:p>
    <w:p>
      <w:pPr>
        <w:ind w:left="760" w:right="82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we revoke the notice to terminate the Patent License or subsequently acquire substantially similar rights, our inability to use the technology currently licensed to us pursuant to the Patent License.</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Should we resume our clinical programs, we cannot assure you that we will be able to successfully address these challenges, which could prevent us from achieving our research, development and commercialization goals. In addition, these challenges may diminish the value of our assets in the execution of any strategic alternative.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*Should we resume development of our product candidates, we will need to recruit, hire and retain qualified personnel.</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Following our strategic reprioritization in August 2023, we have reduced our workforce by approximately 80% to date. Our cash conservation activities may yield unintended consequences, such as attrition beyond our planned reduction in workforce and reduced employee morale, which may cause remaining employees to seek alternative employment. The reductions in force included employees responsible for key aspects of our clinical and other development programs.</w:t>
      </w:r>
    </w:p>
    <w:p>
      <w:pPr>
        <w:spacing w:after="0" w:line="7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Should we, in the future, resume development of our product candidates, we may not be able to attract or retain qualified management and commercial, scientific, manufacturing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9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*Any termination of our licenses with Precigen,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clinical programs, if resumed, depend on patents, know-how, and proprietary technology that are licensed from others, particularly MD Anderson, Precigen, and the NCI, as well as the contributions by MD Anderson under our research and development agreements. Any termination of these licenses or research and development agreements could result in the loss of significant rights and could harm our ability to develop or monetize our product candidates. Disputes may also arise between us and these licensors regarding intellectual property subject to a license agreement, including those relating to:</w:t>
      </w:r>
    </w:p>
    <w:p>
      <w:pPr>
        <w:spacing w:after="0" w:line="48"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applicable license agreement and other interpretation-related issues;</w:t>
      </w:r>
    </w:p>
    <w:p>
      <w:pPr>
        <w:spacing w:after="0" w:line="116" w:lineRule="exact"/>
        <w:rPr>
          <w:rFonts w:ascii="Arial" w:cs="Arial" w:eastAsia="Arial" w:hAnsi="Arial"/>
          <w:sz w:val="18"/>
          <w:szCs w:val="18"/>
          <w:color w:val="auto"/>
        </w:rPr>
      </w:pPr>
    </w:p>
    <w:p>
      <w:pPr>
        <w:ind w:left="760" w:right="280" w:hanging="378"/>
        <w:spacing w:after="0" w:line="307"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and the technology and processes of Precigen, MD Anderson, the NCI and our other licensors, infringe intellectual property of the licensor that is not subject to the applicable license agreement;</w:t>
      </w:r>
    </w:p>
    <w:p>
      <w:pPr>
        <w:spacing w:after="0" w:line="39" w:lineRule="exact"/>
        <w:rPr>
          <w:rFonts w:ascii="Arial" w:cs="Arial" w:eastAsia="Arial" w:hAnsi="Arial"/>
          <w:sz w:val="17"/>
          <w:szCs w:val="17"/>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pursuant to our relationships with our licensors and partners;</w:t>
      </w:r>
    </w:p>
    <w:p>
      <w:pPr>
        <w:spacing w:after="0" w:line="116" w:lineRule="exact"/>
        <w:rPr>
          <w:rFonts w:ascii="Arial" w:cs="Arial" w:eastAsia="Arial" w:hAnsi="Arial"/>
          <w:sz w:val="18"/>
          <w:szCs w:val="18"/>
          <w:color w:val="auto"/>
        </w:rPr>
      </w:pPr>
    </w:p>
    <w:p>
      <w:pPr>
        <w:ind w:left="760" w:right="260" w:hanging="378"/>
        <w:spacing w:after="0" w:line="26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are complying with our diligence obligations with respect to the use of the licensed technology in relation to our development and commercialization of our potential products under the MD Anderson License, the A&amp;R License Agreement and our patent license agreement with the NCI;</w:t>
      </w:r>
    </w:p>
    <w:p>
      <w:pPr>
        <w:spacing w:after="0" w:line="74" w:lineRule="exact"/>
        <w:rPr>
          <w:rFonts w:ascii="Arial" w:cs="Arial" w:eastAsia="Arial" w:hAnsi="Arial"/>
          <w:sz w:val="18"/>
          <w:szCs w:val="18"/>
          <w:color w:val="auto"/>
        </w:rPr>
      </w:pPr>
    </w:p>
    <w:p>
      <w:pPr>
        <w:ind w:left="760" w:right="38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or not our partners are complying with all of their obligations to support our programs under licenses and research and development agreements; and</w:t>
      </w:r>
    </w:p>
    <w:p>
      <w:pPr>
        <w:spacing w:after="0" w:line="61" w:lineRule="exact"/>
        <w:rPr>
          <w:rFonts w:ascii="Arial" w:cs="Arial" w:eastAsia="Arial" w:hAnsi="Arial"/>
          <w:sz w:val="18"/>
          <w:szCs w:val="18"/>
          <w:color w:val="auto"/>
        </w:rPr>
      </w:pPr>
    </w:p>
    <w:p>
      <w:pPr>
        <w:ind w:left="760" w:right="200" w:hanging="378"/>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If disputes over intellectual property that we have licensed prevent or impair our ability to maintain our current licensing arrangements, particularly with MD Anderson and Precigen, on acceptable terms, we may be unable to successfully monetize the affected potential products. On October 27, 2023, we provided the NCI the requisite notice of our intent to terminate the Patent License, effective 60 days from such notice. If we fail to revoke the termination notice within 60 days of its date or are unable to acquire the rights from the NCI that we currently have under the Patent License following its termination, on terms acceptable to us or at all, our clinical development programs will be negatively impacted. We are generally also subject to all of the same risks with respect to protection of intellectual property that we license as we are for intellectual property that we own. If we or our licensors fail to adequately protect this intellectual property, our ability to monetize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Arial" w:cs="Arial" w:eastAsia="Arial" w:hAnsi="Arial"/>
          <w:sz w:val="17"/>
          <w:szCs w:val="17"/>
          <w:i w:val="1"/>
          <w:iCs w:val="1"/>
          <w:color w:val="auto"/>
        </w:rPr>
        <w:t>inter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260"/>
        <w:spacing w:after="0" w:line="277" w:lineRule="auto"/>
        <w:rPr>
          <w:sz w:val="20"/>
          <w:szCs w:val="20"/>
          <w:color w:val="auto"/>
        </w:rPr>
      </w:pPr>
      <w:r>
        <w:rPr>
          <w:rFonts w:ascii="Arial" w:cs="Arial" w:eastAsia="Arial" w:hAnsi="Arial"/>
          <w:sz w:val="18"/>
          <w:szCs w:val="18"/>
          <w:i w:val="1"/>
          <w:iCs w:val="1"/>
          <w:color w:val="auto"/>
        </w:rPr>
        <w:t xml:space="preserve">partes </w:t>
      </w:r>
      <w:r>
        <w:rPr>
          <w:rFonts w:ascii="Arial" w:cs="Arial" w:eastAsia="Arial" w:hAnsi="Arial"/>
          <w:sz w:val="18"/>
          <w:szCs w:val="18"/>
          <w:color w:val="auto"/>
        </w:rPr>
        <w:t>review and post-grant review have been implemented, which adds uncertainty to the possibility of challenge to our or our licensors’ patents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1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not be able to retain the rights licensed to us and Precigen by MD Anderson or the rights licensed to us by the National Cancer Institute to technologies relating to TCR-T cell therapies and other related technologies.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MD Anderson License, we, together with Precigen, received an exclusive, worldwide license to certain technologies owned and licensed by MD Anderson including technologies relating to novel TCR-T cell therapies as well as either co-exclusive or non-exclusive licenses under certain related technologies. These proprietary methods and technologies, along with others within Precigen's technology suite and licensed to us by Precigen,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Precigen shall then have a fully-paid up, royalty free, perpetual, irrevocable and sublicensable license to use the licensed intellectual property thereunder.</w:t>
      </w:r>
    </w:p>
    <w:p>
      <w:pPr>
        <w:spacing w:after="0" w:line="8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After 10 years from the date of the MD Anderson License and subject to a 90-day cure period, MD Anderson will have the right to convert the MD Anderson License into a non-exclusive license if we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Precigen are not meeting the diligence requirements in such funding agreement or contract, as applicable. MD Anderson may also terminate the agreement with written notice upon material breach by us or Precigen, if such breach has not been cured within 60 days of receiving such notice. In addition, the MD Anderson License will terminate upon the occurrence of certain insolvency events for both us or Precigen and may be terminated by the mutual written agreement of us, Precigen and MD Anderson.</w:t>
      </w:r>
    </w:p>
    <w:p>
      <w:pPr>
        <w:spacing w:after="0" w:line="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Should we in the future resume development of our product candidates, there can be no assurance that we will be able to successfully perform under the MD Anderson License or regain our terminated rights under the Patent License and if the MD Anderson License is terminated, we may be prevented from achieving our business objectives.</w:t>
      </w:r>
    </w:p>
    <w:p>
      <w:pPr>
        <w:spacing w:after="0" w:line="18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historically been partly reliant on the NCI for research and development and early clinical testing of certain of our product candidates and the termination of the CRADA gives the NCI certain rights thereunder.</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A portion of our research and development has been conducted by the NCI under the CRADA entered into in January 2017 and which was amended in March 2018, February 2019, March 2022 and June 2022. Under the CRADA, the NCI, with Dr. Steven A. Rosenberg as the principal investigator, has been responsible for conducting a clinical trial using the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system to express TCRs for the treatment of solid tumors.</w:t>
      </w:r>
    </w:p>
    <w:p>
      <w:pPr>
        <w:spacing w:after="0" w:line="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CRADA expired by its terms on January 9, 2022. In March 2022, we entered into an amendment to the CRADA that is retroactive, effective January 9, 2022 to extend the term of the CRADA until January 9, 2023. In June 2022, we entered into the Fourth Amendment to the CRADA, or the CRADA Fourth Amendment, which, among other things, extended the term of the CRADA until January 9, 2025.</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14, 2023, we announced a strategic reprioritization of our business and wind down of our TCR-T Library Phase 1/2 Trial. In connection with the reprioritization, we announced that we had provided the requisite notice to NCI to terminate the CRADA, pursuant to its terms, effective October 13, 2023. The termination of the CRADA would make it difficult to resume development of our product candidates, should we in the future consider doing so. Our unilateral termination gave the NCI certain rights under the CRADA. Specifically, it provided for (i) the NCI to receive any costs incurred for which we have not previously reimbursed it and reasonable termination costs; (ii) the option for the NCI to retain any funds we transferred to it for use in completing the research plan, as specified in the CRADA; and (iii) the NCI to receive sufficient quantities of materials to complete the research plan, as specified in the CRADA. The NCI subsequently confirmed that the amounts we had paid to date offset the NCI's cost of conducting the research and as a result, the NCI would not be seeking additional funds pursuant to the CRADA.</w:t>
      </w:r>
    </w:p>
    <w:p>
      <w:pPr>
        <w:spacing w:after="0" w:line="18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*Should we resume development of our product candidates, we may not be able to commercialize them, generate significant revenues, or attain profitability.</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date, none of our product candidates have been approved for commercial sale in any country. The process to develop, obtain regulatory approval for, and commercialize potential product candidates is long, complex and costly. Should we resume clinical development, unless and until we receive approval from the FDA and/or other foreign regulatory authorities for our product candidates, we cannot sell our products and will not have product revenues. Even if we should in the future resume development of our product candidates and obtain regulatory approval for one or more of our product candidates, if we are unable to successfully commercialize our products, we may not be able to generate sufficient revenues to achieve or maintain profitability or to continue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color w:val="auto"/>
        </w:rPr>
        <w:t>business without raising significant additional capital, which may not be available. Our failure to achieve or maintain profitability could negatively impact the trading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history makes it difficult to evaluate our business and prospects.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not previously completed any pivotal clinical trials, submitted a BLA or demonstrated an ability to perform the functions necessary for the successful commercialization of any product candidates. If we resume development of our product candidates, successful commercialization of any product candidates will require us to perform a variety of functions, including:</w:t>
      </w:r>
    </w:p>
    <w:p>
      <w:pPr>
        <w:spacing w:after="0" w:line="75" w:lineRule="exact"/>
        <w:rPr>
          <w:sz w:val="20"/>
          <w:szCs w:val="20"/>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to undertake preclinical development and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subjects us to the risk of liability claims associated with the use of hazardous materials and chemicals.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contract research and development activities have involved and may in the future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77"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prior governmental approvals;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right="340"/>
        <w:spacing w:after="0" w:line="256" w:lineRule="auto"/>
        <w:rPr>
          <w:sz w:val="20"/>
          <w:szCs w:val="20"/>
          <w:color w:val="auto"/>
        </w:rPr>
      </w:pPr>
      <w:r>
        <w:rPr>
          <w:rFonts w:ascii="Arial" w:cs="Arial" w:eastAsia="Arial" w:hAnsi="Arial"/>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relied and, should we in the future resume development of our product candidates, will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2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ordinary course of our business, we, our CROs and other third parties on which we rely collected and stored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Such legal claims or proceedings, liability or government enforcement actions may make it more difficult to consummate opportunities presented to us during our search for a strategic alternative. Unauthorized access, loss or dissemination could also disrupt our operations, including our ability to resume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its value may decrease and our business, or ability to consummate a strategic transaction,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search for a strategic alternative negatively impacted.</w:t>
      </w:r>
    </w:p>
    <w:p>
      <w:pPr>
        <w:spacing w:after="0" w:line="181" w:lineRule="exact"/>
        <w:rPr>
          <w:sz w:val="20"/>
          <w:szCs w:val="20"/>
          <w:color w:val="auto"/>
        </w:rPr>
      </w:pPr>
    </w:p>
    <w:p>
      <w:pPr>
        <w:ind w:right="820"/>
        <w:spacing w:after="0" w:line="281" w:lineRule="auto"/>
        <w:rPr>
          <w:sz w:val="20"/>
          <w:szCs w:val="20"/>
          <w:color w:val="auto"/>
        </w:rPr>
      </w:pPr>
      <w:r>
        <w:rPr>
          <w:rFonts w:ascii="Arial" w:cs="Arial" w:eastAsia="Arial" w:hAnsi="Arial"/>
          <w:sz w:val="18"/>
          <w:szCs w:val="18"/>
          <w:b w:val="1"/>
          <w:bCs w:val="1"/>
          <w:color w:val="auto"/>
        </w:rPr>
        <w:t>RISKS RELATED TO THE CLINICAL TESTING, GOVERNMENT REGULATION AND MANUFACTURING OF OUR PRODUCT CANDIDATES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*Should we resume development of our product candidates, we may encounter difficulties enrolling patients in our clinical trials, and our clinical development activities could be delayed or otherwise adversely affected.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experienced, and may in the future experience, difficulties in patient enrollment in our TCR-T Library Phase 1/2 Trial and any future clinical trials for a variety of reasons, including impacts that resulted from the COVID-19 pandemic. The timely completion 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77"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as a result of halting our ongoing clinical development;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eligibility criteria defined in the clinical trial protocol;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clinical trial’s primary endpoints;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clinical trial sites;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and retain clinical trial investigators with the appropriate competencies and experience;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insurance approvals of trial participation; and</w:t>
      </w:r>
    </w:p>
    <w:p>
      <w:pPr>
        <w:spacing w:after="0" w:line="116" w:lineRule="exact"/>
        <w:rPr>
          <w:rFonts w:ascii="Arial" w:cs="Arial" w:eastAsia="Arial" w:hAnsi="Arial"/>
          <w:sz w:val="18"/>
          <w:szCs w:val="18"/>
          <w:color w:val="auto"/>
        </w:rPr>
      </w:pPr>
    </w:p>
    <w:p>
      <w:pPr>
        <w:ind w:left="760" w:right="8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the manufacturing and infusion of our product candidates or clinical trial completion.</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Should we resume clinical development, our clinical trials would compete with other clinical trials for product candidates that are in the same therapeutic areas as our product candidates, and this competition could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would expect to conduct some of our clinical trials at the same clinical trial sites that some of our competitors use if we resume development of our product candidates,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our product candidates address patients with relapsed/refractory cancer, the patients are typically in the late stages of their disease and may experience disease progression independent from our product candidates, making them unevaluable for purposes of the clinical trial, which would require additional patient enrollment.</w:t>
      </w:r>
    </w:p>
    <w:p>
      <w:pPr>
        <w:spacing w:after="0" w:line="71"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24"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 should we resume development.</w:t>
      </w:r>
    </w:p>
    <w:p>
      <w:pPr>
        <w:ind w:right="20"/>
        <w:spacing w:after="0" w:line="255"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and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or our collaborators’ clinical trials;</w:t>
      </w:r>
    </w:p>
    <w:p>
      <w:pPr>
        <w:spacing w:after="0" w:line="116" w:lineRule="exact"/>
        <w:rPr>
          <w:rFonts w:ascii="Arial" w:cs="Arial" w:eastAsia="Arial" w:hAnsi="Arial"/>
          <w:sz w:val="18"/>
          <w:szCs w:val="18"/>
          <w:color w:val="auto"/>
        </w:rPr>
      </w:pPr>
    </w:p>
    <w:p>
      <w:pPr>
        <w:ind w:left="760" w:right="68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agencies for approval;</w:t>
      </w:r>
    </w:p>
    <w:p>
      <w:pPr>
        <w:spacing w:after="0" w:line="61" w:lineRule="exact"/>
        <w:rPr>
          <w:rFonts w:ascii="Arial" w:cs="Arial" w:eastAsia="Arial" w:hAnsi="Arial"/>
          <w:sz w:val="18"/>
          <w:szCs w:val="18"/>
          <w:color w:val="auto"/>
        </w:rPr>
      </w:pPr>
    </w:p>
    <w:p>
      <w:pPr>
        <w:ind w:left="760" w:right="6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61"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61" w:lineRule="exact"/>
        <w:rPr>
          <w:rFonts w:ascii="Arial" w:cs="Arial" w:eastAsia="Arial" w:hAnsi="Arial"/>
          <w:sz w:val="18"/>
          <w:szCs w:val="18"/>
          <w:color w:val="auto"/>
        </w:rPr>
      </w:pPr>
    </w:p>
    <w:p>
      <w:pPr>
        <w:ind w:left="760" w:right="40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collaborators, may be unable to demonstrate that a product candidate is safe and effective, and that the therapeutic product candidate’s clinical and other benefits outweigh its safety risks;</w:t>
      </w:r>
    </w:p>
    <w:p>
      <w:pPr>
        <w:spacing w:after="0" w:line="61"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such authorities that our companion diagnostics are suitable to identify appropriate patient populations;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760" w:right="180" w:hanging="378"/>
        <w:spacing w:after="0" w:line="311"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Such authorities may not agree that the data collected from clinical trials of our product candidates are acceptable or sufficient to support the submission of a BLA, New Drug Application, premarket approval, or PMA, or other submission or to obtain regulatory approval in the United States or elsewhere, and such authorities may impose requirements for additional preclinical studies or clinical trials;</w:t>
      </w:r>
    </w:p>
    <w:p>
      <w:pPr>
        <w:spacing w:after="0" w:line="39" w:lineRule="exact"/>
        <w:rPr>
          <w:rFonts w:ascii="Arial" w:cs="Arial" w:eastAsia="Arial" w:hAnsi="Arial"/>
          <w:sz w:val="16"/>
          <w:szCs w:val="16"/>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116" w:lineRule="exact"/>
        <w:rPr>
          <w:rFonts w:ascii="Arial" w:cs="Arial" w:eastAsia="Arial" w:hAnsi="Arial"/>
          <w:sz w:val="18"/>
          <w:szCs w:val="18"/>
          <w:color w:val="auto"/>
        </w:rPr>
      </w:pPr>
    </w:p>
    <w:p>
      <w:pPr>
        <w:ind w:left="760" w:right="4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61" w:lineRule="exact"/>
        <w:rPr>
          <w:rFonts w:ascii="Arial" w:cs="Arial" w:eastAsia="Arial" w:hAnsi="Arial"/>
          <w:sz w:val="18"/>
          <w:szCs w:val="18"/>
          <w:color w:val="auto"/>
        </w:rPr>
      </w:pPr>
    </w:p>
    <w:p>
      <w:pPr>
        <w:ind w:left="760" w:right="760" w:hanging="378"/>
        <w:spacing w:after="0" w:line="341"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16" w:lineRule="exact"/>
        <w:rPr>
          <w:rFonts w:ascii="Arial" w:cs="Arial" w:eastAsia="Arial" w:hAnsi="Arial"/>
          <w:sz w:val="16"/>
          <w:szCs w:val="16"/>
          <w:color w:val="auto"/>
        </w:rPr>
      </w:pPr>
    </w:p>
    <w:p>
      <w:pPr>
        <w:ind w:left="760" w:right="740" w:hanging="378"/>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Regulations and approval policies of such authorities may significantly change in a manner rendering our or any of our potential future collaborators’ clinical data insufficient for approval; or</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should we resume clinical development, which would significantly harm our business, results of operations and prospects. In addition, even if we obtain regulatory approval of our product candidates, regulatory authorities may approve any of our product candidates for fewer or more limited indications than we request and may impose significant limitations in the form of narrow indications, warnings, or a Risk Evaluation and Mitigation Strategy, or REMS.</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have halted development of our product candidates very early in our development efforts. Our most advanced product candidates were only in an early-stage clinical trial, which is very expensive and time-consuming. We cannot be certain if or when we will be able to submit a BLA to the FDA and the delay, or any failure, in completing clinical trials for our product candidates could harm our business.</w:t>
      </w:r>
    </w:p>
    <w:p>
      <w:pPr>
        <w:spacing w:after="0" w:line="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most advanced product candidates were in a Phase 1/2 trial when we ceased development activity and will require extensive clinical testing should we resume development. Human clinical trials are very expensive and difficult to design, initiate and implement, in part because they are subject to rigorous regulatory requirements. Failure can occur at any stage of a clinical trial, and we can encounter problems that cause us to delay the start of, abandon or repeat clinical trials. Some factors which may lead to a delay in the commencement or completion of our clinical trials, if resumed, include: requests for additional nonclinical data from regulators, unforeseen safety issues, dosing issues, lack of effectiveness during clinical trials, difficulty recruiting or monitoring patients, or difficulty manufacturing clinical products, among other factors.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they enter later stages of development, product candidates generally will become subject to more stringent regulatory requirements, including the FDA’s requirements for chemistry, manufacturing and controls for product candidates entering Phase 3 clinical trials. There is no guarantee the FDA will allow us or any potential licensee to commence Phase 3 clinical trials for product candidates studied in earlier clinical trials.</w:t>
      </w:r>
    </w:p>
    <w:p>
      <w:pPr>
        <w:spacing w:after="0" w:line="5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If the FDA does not allow our product candidates to enter later stage clinical trials or requires changes to the formulation or manufacture of our product candidates before commencing Phase 3 clinical trials, the ability to further develop, or seek approval for, such product candidates may be materially impacted. As such, if we resume clinical development of our product candidates, we cannot predict with any certainty if or when we might submit a BLA for regulatory approval of our product candidates or whether such a BLA will be accepted. Because we do not anticipate generating significant revenues unless and until we submit one or more BLAs and thereafter obtain requisite FDA approvals, the timing of our BLA submissions and FDA determinations regarding approval thereof will directly affect if and when we are able to generate significant revenues.</w:t>
      </w:r>
    </w:p>
    <w:p>
      <w:pPr>
        <w:spacing w:after="0" w:line="6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we have halted development of our product candidates. There is an additive degree of risk to any development program that is paused because the time to restart the program and the associated expense may be longer and more costly than previously anticipated. It may also not be possible to restart the program altogether.</w:t>
      </w:r>
    </w:p>
    <w:p>
      <w:pPr>
        <w:spacing w:after="0" w:line="183" w:lineRule="exact"/>
        <w:rPr>
          <w:sz w:val="20"/>
          <w:szCs w:val="20"/>
          <w:color w:val="auto"/>
        </w:rPr>
      </w:pPr>
    </w:p>
    <w:p>
      <w:pPr>
        <w:ind w:right="320"/>
        <w:spacing w:after="0" w:line="341"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2" w:name="page43"/>
    <w:bookmarkEnd w:id="42"/>
    <w:p>
      <w:pPr>
        <w:ind w:right="100"/>
        <w:spacing w:after="0" w:line="296" w:lineRule="auto"/>
        <w:rPr>
          <w:sz w:val="20"/>
          <w:szCs w:val="20"/>
          <w:color w:val="auto"/>
        </w:rPr>
      </w:pPr>
      <w:r>
        <w:rPr>
          <w:rFonts w:ascii="Arial" w:cs="Arial" w:eastAsia="Arial" w:hAnsi="Arial"/>
          <w:sz w:val="16"/>
          <w:szCs w:val="16"/>
          <w:color w:val="auto"/>
        </w:rPr>
        <w:t>As with many pharmaceutical and biological products, treatment with our product candidates, if resumed,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should we resume it. The FDA or foreign regulatory authorities could order us to cease further development of or deny approval of our product candidates for any or all targeted indications. If a serious adverse event were to occur in a trial, the FDA may place a hold on the clinical trial.</w:t>
      </w:r>
    </w:p>
    <w:p>
      <w:pPr>
        <w:spacing w:after="0" w:line="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product-related side effects could affect patient recruitment or the ability of enrolled patients to resume and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Should we resume product development or begin commercialization, we expect to have to train medical personnel using our product candidates to understand their side effect profiles. Inadequate training in recognizing or managing the potential side effects of our 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 candidates, a number of potentially significant negative consequences could result, including:</w:t>
      </w:r>
    </w:p>
    <w:p>
      <w:pPr>
        <w:spacing w:after="0" w:line="70"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w:t>
      </w:r>
    </w:p>
    <w:p>
      <w:pPr>
        <w:spacing w:after="0" w:line="116" w:lineRule="exact"/>
        <w:rPr>
          <w:rFonts w:ascii="Arial" w:cs="Arial" w:eastAsia="Arial" w:hAnsi="Arial"/>
          <w:sz w:val="18"/>
          <w:szCs w:val="18"/>
          <w:color w:val="auto"/>
        </w:rPr>
      </w:pPr>
    </w:p>
    <w:p>
      <w:pPr>
        <w:ind w:left="760" w:right="240" w:hanging="378"/>
        <w:spacing w:after="0" w:line="307"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9" w:lineRule="exact"/>
        <w:rPr>
          <w:rFonts w:ascii="Arial" w:cs="Arial" w:eastAsia="Arial" w:hAnsi="Arial"/>
          <w:sz w:val="17"/>
          <w:szCs w:val="17"/>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cellular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 should we resume these activities.</w:t>
      </w:r>
    </w:p>
    <w:p>
      <w:pPr>
        <w:spacing w:after="0" w:line="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have depended on a limited number of vendors for certain materials and equipment used in the manufacture of our product candidates, including DNA plasmids, which we used as the vector to insert our TCRs into human T cells. Some of these suppliers may not have the capacity to support commercial products manufactured under current good manufacturing practices by biopharmaceutical firms or may otherwise be ill-equipped to support our needs, should we resume manufacturing. We also do not have supply contracts with some of these suppliers and may not be able to obtain supply contracts with them on acceptable terms or at all. Accordingly, we may experience delays in receiving key materials and equipment to support clinical or commercial manufacturing, should we resume those activities.</w:t>
      </w:r>
    </w:p>
    <w:p>
      <w:pPr>
        <w:spacing w:after="0" w:line="7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For some of these reagents, equipment, infrastructure, and materials, we may rely on sole source vendors or a limited number of vendors. An inability to source product from any of these suppliers, or source product on commercially reasonable terms, which could be due to, among other things, regulatory actions or requirements affecting the supplier, adverse financial or other strategic developments experienced by a supplier, labor disputes or shortages, unexpected demands, supply chain issues or quality issues, could adversely affect our ability to satisfy demand for our product candidates, which could adversely and materially affect our ability to conduct clinical trials, should we resume them, which could significantly harm our business.</w:t>
      </w:r>
    </w:p>
    <w:p>
      <w:pPr>
        <w:spacing w:after="0" w:line="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some of the reagents and products used by us may be stored at a single vendor. The loss of materials located at a single vendor, or the failure of such a vendor to manufacture clinical product in accordance with our specifications, would impact our ability to conduct clinical trials and continue the development of our products, should we resume it. Further, manufacturing replacement material may be expensive and require a significant amount of time, which may further impact our clinical programs.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we resume developing and scaling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ind w:right="420"/>
        <w:spacing w:after="0" w:line="263" w:lineRule="auto"/>
        <w:rPr>
          <w:sz w:val="20"/>
          <w:szCs w:val="20"/>
          <w:color w:val="auto"/>
        </w:rPr>
      </w:pPr>
      <w:r>
        <w:rPr>
          <w:rFonts w:ascii="Arial" w:cs="Arial" w:eastAsia="Arial" w:hAnsi="Arial"/>
          <w:sz w:val="18"/>
          <w:szCs w:val="18"/>
          <w:color w:val="auto"/>
        </w:rPr>
        <w:t>process so as to use other materials or equipment, such a change may lead to a delay in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83" w:lineRule="exact"/>
        <w:rPr>
          <w:sz w:val="20"/>
          <w:szCs w:val="20"/>
          <w:color w:val="auto"/>
        </w:rPr>
      </w:pPr>
    </w:p>
    <w:p>
      <w:pPr>
        <w:spacing w:after="0" w:line="307"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clinical trials, should we resume the activities.</w:t>
      </w:r>
    </w:p>
    <w:p>
      <w:pPr>
        <w:spacing w:after="0" w:line="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limited experience in biopharmaceutical manufacturing. In 2021, we began manufacturing our product candidates at our in-house current good manufacturing practices, or cGMP, manufacturing facility at our leased headquarters in Houston, Texas. In connection with our exploration of strategic alternatives, we have halted manufacturing of our product candidates and eliminated positions relating to the same. Accordingly, should we elect to in the future, our ability to resume manufacturing our product candidates will depend on our hiring and retaining personnel with the appropriate background and training to staff and operate the facility on a daily basis. Should we be unable to hire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Although we have developed our own manufacturing processes using an in-house team, there is timing risk associated with increased in-house product manufacture, including as a result of implementing the Plan.</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 Before we halted clinical development, we had amended our clinical trial IND to use cryopreservation-based storage of clinical products. This process is new and should we resume clinical development and in-house manufacturing, we may experience manufacturing failures or difficulties producing sufficient quantities of our clinical products as a result of this change.</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 candidates have been manufactured on a patient-by-patient basis. Delays in manufacturing could adversely impact the treatment of each patient and may discourage participation in clinical trials should clinical development be resumed. We have not manufactured our clinical trial product candidates on a large scale and may not be able to achieve large scale clinical trial or commercial manufacturing and processing on our own to satisfy expected clinical trial or commercial demands for any of our product candidates, should development resume in the future. The manufacturing processes employed by us may not result in product candidates that will be safe and effective. If we are unable to manufacture sufficient number of TCR-T cells for our product candidates, development efforts would be delayed, which would adversely affect our business and prospects.</w:t>
      </w:r>
    </w:p>
    <w:p>
      <w:pPr>
        <w:spacing w:after="0" w:line="6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Manufacturing operations are subject to review and oversight by the FDA. If we resume manufacturing operations, we will be subject to ongoing periodic unannounced inspection by the FDA, the Drug Enforcement Administration and corresponding state agencies to ensure strict compliance with cGMP and other government regulations. Our license to manufacture product candidates is subject to continued regulatory review.</w:t>
      </w:r>
    </w:p>
    <w:p>
      <w:pPr>
        <w:spacing w:after="0" w:line="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 should we resume the trial.</w:t>
      </w:r>
    </w:p>
    <w:p>
      <w:pPr>
        <w:spacing w:after="0" w:line="18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have difficulty validating our manufacturing process as we manufacture our product candidates from an increasingly diverse patient population for our clinical trials, should we resume these activities.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our development of the manufacturing process, our TCR-T cell product candidates have demonstrated consistency from lot to lot and from donor to donor. However, our sample size is small and the starting material used during our preclinical development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80"/>
        <w:spacing w:after="0" w:line="277" w:lineRule="auto"/>
        <w:rPr>
          <w:sz w:val="20"/>
          <w:szCs w:val="20"/>
          <w:color w:val="auto"/>
        </w:rPr>
      </w:pPr>
      <w:r>
        <w:rPr>
          <w:rFonts w:ascii="Arial" w:cs="Arial" w:eastAsia="Arial" w:hAnsi="Arial"/>
          <w:sz w:val="18"/>
          <w:szCs w:val="18"/>
          <w:color w:val="auto"/>
        </w:rPr>
        <w:t>work came from healthy donors. If our development work is continued, we may encounter unforeseen difficulties due to starting with material from donors who are not healthy, including challenges inherent in harvesting white blood cells from unhealthy patients.</w:t>
      </w:r>
    </w:p>
    <w:p>
      <w:pPr>
        <w:spacing w:after="0" w:line="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Although we believe our manufacturing process is scalable for clinical development and commercialization, if any of our product candidates are approved or commercialized, we may encounter challenges in validating our process due to the heterogeneity of the product starting material. We cannot guarantee that any other issues relating to the heterogeneity of the starting material will not impact our ability to commercially manufacture our product candidates.</w:t>
      </w:r>
    </w:p>
    <w:p>
      <w:pPr>
        <w:spacing w:after="0" w:line="144" w:lineRule="exact"/>
        <w:rPr>
          <w:sz w:val="20"/>
          <w:szCs w:val="20"/>
          <w:color w:val="auto"/>
        </w:rPr>
      </w:pPr>
    </w:p>
    <w:p>
      <w:pPr>
        <w:jc w:val="both"/>
        <w:ind w:right="140"/>
        <w:spacing w:after="0" w:line="281" w:lineRule="auto"/>
        <w:rPr>
          <w:sz w:val="20"/>
          <w:szCs w:val="20"/>
          <w:color w:val="auto"/>
        </w:rPr>
      </w:pPr>
      <w:r>
        <w:rPr>
          <w:rFonts w:ascii="Arial" w:cs="Arial" w:eastAsia="Arial" w:hAnsi="Arial"/>
          <w:sz w:val="18"/>
          <w:szCs w:val="18"/>
          <w:b w:val="1"/>
          <w:bCs w:val="1"/>
          <w:i w:val="1"/>
          <w:iCs w:val="1"/>
          <w:color w:val="auto"/>
        </w:rPr>
        <w:t xml:space="preserve">*The gene transfer vectors from our </w:t>
      </w:r>
      <w:r>
        <w:rPr>
          <w:rFonts w:ascii="Arial" w:cs="Arial" w:eastAsia="Arial" w:hAnsi="Arial"/>
          <w:sz w:val="18"/>
          <w:szCs w:val="18"/>
          <w:b w:val="1"/>
          <w:bCs w:val="1"/>
          <w:color w:val="auto"/>
        </w:rPr>
        <w:t>Sleeping Beauty</w:t>
      </w:r>
      <w:r>
        <w:rPr>
          <w:rFonts w:ascii="Arial" w:cs="Arial" w:eastAsia="Arial" w:hAnsi="Arial"/>
          <w:sz w:val="18"/>
          <w:szCs w:val="18"/>
          <w:b w:val="1"/>
          <w:bCs w:val="1"/>
          <w:i w:val="1"/>
          <w:iCs w:val="1"/>
          <w:color w:val="auto"/>
        </w:rPr>
        <w:t xml:space="preserve"> system used to manufacture our product candidates may incorrectly modify the genetic material of a patient’s T cells, potentially triggering the development of a new cancer or other adverse events.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Our TCR-T cells were manufactured using our </w:t>
      </w:r>
      <w:r>
        <w:rPr>
          <w:rFonts w:ascii="Arial" w:cs="Arial" w:eastAsia="Arial" w:hAnsi="Arial"/>
          <w:sz w:val="17"/>
          <w:szCs w:val="17"/>
          <w:i w:val="1"/>
          <w:iCs w:val="1"/>
          <w:color w:val="auto"/>
        </w:rPr>
        <w:t>Sleeping Beauty</w:t>
      </w:r>
      <w:r>
        <w:rPr>
          <w:rFonts w:ascii="Arial" w:cs="Arial" w:eastAsia="Arial" w:hAnsi="Arial"/>
          <w:sz w:val="17"/>
          <w:szCs w:val="17"/>
          <w:color w:val="auto"/>
        </w:rPr>
        <w:t xml:space="preserve"> system, a non-viral vector to insert genetic information encoding the TCR construct into the patient’s T cells. The TCR construct was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used non-viral vectors to insert genetic information into T cells, which we believe have a lower risk of insertional oncogenesis as opposed to viral vectors. However, the risk of insertional oncogenesis remains a concern for gene therapy, and we cannot assure you that it will not occur in any clinical trials of our product candidates. There is also the potential risk of delayed adverse events following exposure to gene therapy products due to persistent biological activity of the genetic material or other components of the vectors used to carry the genetic material. Although our product candidates use non-viral vectors, the FDA has stated that lentiviral vectors possess characteristics that may pose high risks of delayed adverse events. If any such adverse events occur from our non-viral vector, preclinical studies or clinical trials could be halted or delayed, which would have a material adverse effect on our business and operations.</w:t>
      </w:r>
    </w:p>
    <w:p>
      <w:pPr>
        <w:spacing w:after="0" w:line="18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*Should we resume development of our product candidates, 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restricted distribution system. If any of our product candidates receives marketing approval, the accompanying label may limit the approved uses, which could limit sales of the product.</w:t>
      </w:r>
    </w:p>
    <w:p>
      <w:pPr>
        <w:spacing w:after="0" w:line="7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62" w:lineRule="exact"/>
        <w:rPr>
          <w:sz w:val="20"/>
          <w:szCs w:val="20"/>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taking our product;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ABILITY TO COMMERCIALIZE OUR PRODUCT CANDIDATES</w:t>
      </w:r>
    </w:p>
    <w:p>
      <w:pPr>
        <w:spacing w:after="0" w:line="229"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b w:val="1"/>
          <w:bCs w:val="1"/>
          <w:i w:val="1"/>
          <w:iCs w:val="1"/>
          <w:color w:val="auto"/>
        </w:rPr>
        <w:t>Should we resume development of our product candidates, our inability to obtain the necessary U.S. or worldwide regulatory approvals to commercialize any product candidate, our business will suffer.</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Even if we resume clinical development, 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 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studies and clinical trials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61"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Even if we comply with all FDA requests, the FDA may ultimately reject one or more of our BLAs. We cannot be sure that we will ever obtain regulatory approval for any of our product candidates even if we should resume development in the future.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83" w:lineRule="exact"/>
        <w:rPr>
          <w:sz w:val="20"/>
          <w:szCs w:val="20"/>
          <w:color w:val="auto"/>
        </w:rPr>
      </w:pPr>
    </w:p>
    <w:p>
      <w:pPr>
        <w:jc w:val="both"/>
        <w:ind w:right="680"/>
        <w:spacing w:after="0" w:line="341" w:lineRule="auto"/>
        <w:rPr>
          <w:sz w:val="20"/>
          <w:szCs w:val="20"/>
          <w:color w:val="auto"/>
        </w:rPr>
      </w:pPr>
      <w:r>
        <w:rPr>
          <w:rFonts w:ascii="Arial" w:cs="Arial" w:eastAsia="Arial" w:hAnsi="Arial"/>
          <w:sz w:val="16"/>
          <w:szCs w:val="16"/>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6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currently have no marketing, sales, or distribution capabilities. If, and when we become reasonably certain that we will be able to commercialize our product candidates, we anticipate allocating resources to the marketing, sales and distribution of our proposed products in North America and in certain other geographies; however, we cannot assure that we will be able to market, sell, and distribute our products successfully. Our future success also may depend, in part, on our ability to enter into and maintain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line="291" w:lineRule="auto"/>
        <w:rPr>
          <w:sz w:val="20"/>
          <w:szCs w:val="20"/>
          <w:color w:val="auto"/>
        </w:rPr>
      </w:pPr>
      <w:r>
        <w:rPr>
          <w:rFonts w:ascii="Arial" w:cs="Arial" w:eastAsia="Arial" w:hAnsi="Arial"/>
          <w:sz w:val="16"/>
          <w:szCs w:val="16"/>
          <w:color w:val="auto"/>
        </w:rPr>
        <w:t>collaborative relationships for such capabilities and to encourage the collaborator’s strategic interest in the product candidates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5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77"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Pharmacological benefit and cost-effectiveness of our products relative to competing products;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for our products from government or other third-party payors;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Effectiveness of marketing and distribution efforts by us and our licensees and distributors, if any; and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at which we sell our products.</w:t>
      </w:r>
    </w:p>
    <w:p>
      <w:pPr>
        <w:spacing w:after="0" w:line="117" w:lineRule="exact"/>
        <w:rPr>
          <w:sz w:val="20"/>
          <w:szCs w:val="20"/>
          <w:color w:val="auto"/>
        </w:rPr>
      </w:pPr>
    </w:p>
    <w:p>
      <w:pPr>
        <w:ind w:right="420"/>
        <w:spacing w:after="0" w:line="307"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generate product revenues will be diminished if our products do not obtain coverage and adequate reimbursement from payors.</w:t>
      </w:r>
    </w:p>
    <w:p>
      <w:pPr>
        <w:spacing w:after="0" w:line="14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7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t>particular branded drug in their formularies or otherwise restrict patient access to a branded drug when a less costly generic equivalent or other alternative is available.</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would require us to provide scientific and clinical support for the use of our products to each payor separately, with no assurance that approval will be obtained. If we are unable to obtain coverage of and adequate payment levels for our product candidates, if approved,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in many foreign countries, particularly the countries of the European Union, or the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5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Subsequently, for those product candidates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4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Furthermore, there have been and continue to be a number of initiatives at the federal and state level that seek to reduce healthcare costs. Most significantly, in March 2010, President Obama signed into law the Patient Protection and Affordable Care Act, as amended by the Health Care and Education Reconciliation Act, or collectively the ACA, which included measures that have significantly changed the way healthcare is financed by both governmental and private insurers. The ACA, among other things, imposed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added a provision to increase the Medicaid rebate for line extensions or reformulated drugs, established annual fees on manufacturers and importers of certain branded prescription drugs and biologic agents, promoted a new Medicare Part D coverage gap discount program, expanded the entities eligible for discounts under the Public Health Service Act pharmaceutical pricing program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right="80"/>
        <w:spacing w:after="0" w:line="301" w:lineRule="auto"/>
        <w:rPr>
          <w:sz w:val="20"/>
          <w:szCs w:val="20"/>
          <w:color w:val="auto"/>
        </w:rPr>
      </w:pPr>
      <w:r>
        <w:rPr>
          <w:rFonts w:ascii="Arial" w:cs="Arial" w:eastAsia="Arial" w:hAnsi="Arial"/>
          <w:sz w:val="16"/>
          <w:szCs w:val="16"/>
          <w:color w:val="auto"/>
        </w:rPr>
        <w:t>imposed a number of substantial new compliance provisions related to pharmaceutical companies' interactions with healthcare practitioners. The ACA also expanded eligibility for Medicaid programs and introduced a new Patient Centered Outcomes Research Institute to oversee, identify priorities in, and conduct comparative clinical effectiveness research, along with funding for such research and a new Center for Medicare &amp; Medicaid Innovation at the Centers for Medicare &amp; Medicaid Services, or CMS, to test innovative payment and service delivery models to lower Medicare and Medicaid spending.</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ACA-mandated health insurance as part of the Tax Act. Further, President Biden issued an executive order that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there have been a number of health reform initiatives by the Biden administration that have impacted the ACA. For example, on August 16, 2022, President Biden signed the Inflation Reduction Act, or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implementing a newly established manufacturer discount program.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5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5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FDA also released a final rule, effective November 30, 2020, implementing a portion of the importation executive order providing guidance for states to build and submit importation plans for drugs from Canada. Further, on November 30, 2020, the U.S.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IRA delayed implementation of the rule to January 1, 2032. The rule also creates a new safe harbor for price reductions reflected at the point-of-sale, as well as a new safe harbor for certain fixed fee arrangements between pharmacy benefit managers and manufacturers, the implementation of which have also been delayed until January 1, 2032.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President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Additionally, the IRA, among other things, (i) 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effectuated but is likely to have a significant impact on the pharmaceutical industry.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120"/>
        <w:spacing w:after="0" w:line="277" w:lineRule="auto"/>
        <w:rPr>
          <w:sz w:val="20"/>
          <w:szCs w:val="20"/>
          <w:color w:val="auto"/>
        </w:rPr>
      </w:pPr>
      <w:r>
        <w:rPr>
          <w:rFonts w:ascii="Arial" w:cs="Arial" w:eastAsia="Arial" w:hAnsi="Arial"/>
          <w:sz w:val="18"/>
          <w:szCs w:val="18"/>
          <w:color w:val="auto"/>
        </w:rPr>
        <w:t>cost containment measures or other healthcare reforms may prevent us from being able to generate revenue, attain profitability or, if we receive regulatory approval, commercialize our products.</w:t>
      </w:r>
    </w:p>
    <w:p>
      <w:pPr>
        <w:spacing w:after="0" w:line="169"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7"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2" w:lineRule="exact"/>
        <w:rPr>
          <w:sz w:val="20"/>
          <w:szCs w:val="20"/>
          <w:color w:val="auto"/>
        </w:rPr>
      </w:pPr>
    </w:p>
    <w:p>
      <w:pPr>
        <w:ind w:left="760" w:right="140" w:hanging="378"/>
        <w:spacing w:after="0" w:line="256"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2" w:lineRule="exact"/>
        <w:rPr>
          <w:rFonts w:ascii="Arial" w:cs="Arial" w:eastAsia="Arial" w:hAnsi="Arial"/>
          <w:sz w:val="18"/>
          <w:szCs w:val="18"/>
          <w:color w:val="auto"/>
        </w:rPr>
      </w:pPr>
    </w:p>
    <w:p>
      <w:pPr>
        <w:ind w:left="760" w:right="100" w:hanging="378"/>
        <w:spacing w:after="0" w:line="25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7" w:lineRule="exact"/>
        <w:rPr>
          <w:rFonts w:ascii="Arial" w:cs="Arial" w:eastAsia="Arial" w:hAnsi="Arial"/>
          <w:sz w:val="18"/>
          <w:szCs w:val="18"/>
          <w:color w:val="auto"/>
        </w:rPr>
      </w:pPr>
    </w:p>
    <w:p>
      <w:pPr>
        <w:ind w:left="760" w:right="240" w:hanging="378"/>
        <w:spacing w:after="0" w:line="26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74" w:lineRule="exact"/>
        <w:rPr>
          <w:rFonts w:ascii="Arial" w:cs="Arial" w:eastAsia="Arial" w:hAnsi="Arial"/>
          <w:sz w:val="18"/>
          <w:szCs w:val="18"/>
          <w:color w:val="auto"/>
        </w:rPr>
      </w:pPr>
    </w:p>
    <w:p>
      <w:pPr>
        <w:ind w:left="760" w:hanging="378"/>
        <w:spacing w:after="0" w:line="296"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Health Information Technology for Economic and Clinical Health Act of 2009, or 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52" w:lineRule="exact"/>
        <w:rPr>
          <w:rFonts w:ascii="Arial" w:cs="Arial" w:eastAsia="Arial" w:hAnsi="Arial"/>
          <w:sz w:val="16"/>
          <w:szCs w:val="16"/>
          <w:color w:val="auto"/>
        </w:rPr>
      </w:pPr>
    </w:p>
    <w:p>
      <w:pPr>
        <w:ind w:left="760" w:right="280" w:hanging="378"/>
        <w:spacing w:after="0" w:line="259"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under the Physician Payments Sunshine Act to report annually to CMS certain financial arrangements with prescribers and teaching hospitals, as defined in the ACA and its implementing regulations, including reporting any “transfer of value” made or distributed to teaching hospitals, and physicians, as defined by such law and reporting any ownership and investment interests held by physicians and their immediate family members during the preceding calendar year; and</w:t>
      </w:r>
    </w:p>
    <w:p>
      <w:pPr>
        <w:spacing w:after="0" w:line="77" w:lineRule="exact"/>
        <w:rPr>
          <w:rFonts w:ascii="Arial" w:cs="Arial" w:eastAsia="Arial" w:hAnsi="Arial"/>
          <w:sz w:val="18"/>
          <w:szCs w:val="18"/>
          <w:color w:val="auto"/>
        </w:rPr>
      </w:pPr>
    </w:p>
    <w:p>
      <w:pPr>
        <w:ind w:left="760" w:right="20" w:hanging="378"/>
        <w:spacing w:after="0" w:line="290"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including any consulting agreements with physicians who may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To the extent that any of our product candidates is ultimately sold in a foreign country, we may be subject to similar foreign laws and regulations.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7"/>
          <w:szCs w:val="17"/>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immuno-oncology product candidates may face competition in the future from biosimilars and/or new technologies.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00"/>
        <w:spacing w:after="0" w:line="341" w:lineRule="auto"/>
        <w:rPr>
          <w:sz w:val="20"/>
          <w:szCs w:val="20"/>
          <w:color w:val="auto"/>
        </w:rPr>
      </w:pPr>
      <w:r>
        <w:rPr>
          <w:rFonts w:ascii="Arial" w:cs="Arial" w:eastAsia="Arial" w:hAnsi="Arial"/>
          <w:sz w:val="16"/>
          <w:szCs w:val="16"/>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develop our product candidates may be impaired.</w:t>
      </w:r>
    </w:p>
    <w:p>
      <w:pPr>
        <w:spacing w:after="0" w:line="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 Our ability to consummate certain strategic transactions, including strategic partnerships or out-licensing opportunities, among others, may also be impaired if we are unable to adequately protect our intellectual property or if we infringe on the proprietary rights of others.</w:t>
      </w:r>
    </w:p>
    <w:p>
      <w:pPr>
        <w:spacing w:after="0" w:line="8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To date, we have exclusive rights in the field of cancer treatment to certain U.S. and foreign intellectual property with respect to certain cell therapy and related technologies from MD Anderson and the NCI, as well as with respect to the Precigen technology, including </w:t>
      </w:r>
      <w:r>
        <w:rPr>
          <w:rFonts w:ascii="Arial" w:cs="Arial" w:eastAsia="Arial" w:hAnsi="Arial"/>
          <w:sz w:val="16"/>
          <w:szCs w:val="16"/>
          <w:i w:val="1"/>
          <w:iCs w:val="1"/>
          <w:color w:val="auto"/>
        </w:rPr>
        <w:t>Sleeping Beauty</w:t>
      </w:r>
      <w:r>
        <w:rPr>
          <w:rFonts w:ascii="Arial" w:cs="Arial" w:eastAsia="Arial" w:hAnsi="Arial"/>
          <w:sz w:val="16"/>
          <w:szCs w:val="16"/>
          <w:color w:val="auto"/>
        </w:rPr>
        <w:t>. Under the MD Anderson License, future patent applications require the agreement of each of MD Anderson, Precigen and us, and MD Anderson has the right to control the preparation, filing, and prosecution of such patent applications unless the parties agree that we or Precigen instead may control such activities. Although under the License Agreement MD Anderson has agreed to review and incorporate any reasonable comments that we or Precigen may have regarding licensed patents and patent applications, we cannot guarantee that our comments will be solicited or implemented.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implemented. On October 27, 2023, we provided the NCI the requisite notice of our intent to terminate the Patent License, effective 60 days from such notice. We will no longer have any rights to the technology licensed pursuant to the Patent License upon the effectiveness of the termination notice. Under our A&amp;R License Agreement Precigen has the right, but not the obligation, to prepare, file, prosecute, and maintain the patents and patent applications licensed to us and shall bear all related costs incurred by it in regard to those actions. Precigen is required to consult with us and keep us reasonably informed of the status of the patents and patent applications licensed to us, and to confer with us prior to submitting any related filings and correspondence. Although under the A&amp;R License Agreement Precigen has agreed to consider in good faith 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Precigen, as applicable, to keep us advised of prosecution, particularly in foreign jurisdictions where prosecution information may not be publicly available. We anticipate that we, the NCI and Precigen will file additional patent applications both in the United States and in other jurisdictions. However, we cannot predict or guarantee for either our in-licensed patent portfolios or for Alaunos’ patent portfolio:</w:t>
      </w:r>
    </w:p>
    <w:p>
      <w:pPr>
        <w:spacing w:after="0" w:line="70"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if at all, any patents will be granted on such applications;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protection that any patents, if obtained, will afford us against competitors;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third parties will not find ways to invalidate and/or circumvent our patents, if obtained;</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others will not obtain patents claiming subject matter related to or relevant to our product candidates; or</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we will not need to initiate litigation and/or administrative proceedings that may be costly whether we win or lose.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6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7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the NCI or Precigen, to the extent not then terminated, may limit the scope of later patents we obtain, if any.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right="120"/>
        <w:spacing w:after="0" w:line="277" w:lineRule="auto"/>
        <w:rPr>
          <w:sz w:val="20"/>
          <w:szCs w:val="20"/>
          <w:color w:val="auto"/>
        </w:rPr>
      </w:pPr>
      <w:r>
        <w:rPr>
          <w:rFonts w:ascii="Arial" w:cs="Arial" w:eastAsia="Arial" w:hAnsi="Arial"/>
          <w:sz w:val="18"/>
          <w:szCs w:val="18"/>
          <w:color w:val="auto"/>
        </w:rPr>
        <w:t>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confidential information, our business and competitive position would be harmed.</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8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Should we resume development in the future, 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5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4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currently license from MD Anderson, the NCI and Precigen is early-stage technology, and we were in the process of designing and developing products using this technology. Although we sought and, should we resume development activities,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can be tripled if the infringement is deemed willful, and/or we may be required to discontinue or significantly delay commercialization and development of the affected products.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69"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We license rights to products and technology that are important to our business, and we expect to enter into additional licenses in the future. For instance, we have in-licensed patents and patent applications under the MD Anderson License and the Patent License. Under these agreements, we are subject to a range of obligations pertaining to commercialization and development, sublicensing, royalty, patent prosecution and maintenance, and insurance.</w:t>
      </w:r>
    </w:p>
    <w:p>
      <w:pPr>
        <w:spacing w:after="0" w:line="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failure by us to obtain a needed license, comply with any of the obligations or otherwise breach of our then existing license agreements could give the licensor the right to terminate the license in whole, terminate the exclusive nature of the license or bring a claim against 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83"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Many of our current and former employees were previously employed at universities or at other biotechnology or pharmaceutical companies, including our competitors or potential competitors. Although we try to ensure that our employees do not and did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4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color w:val="auto"/>
        </w:rPr>
        <w:t>self-executing or may be breached, and we may be forced to bring claims against third parties, or defend claims they may bring against us, to determine the ownership of what we regard as our intellectual property.</w:t>
      </w:r>
    </w:p>
    <w:p>
      <w:pPr>
        <w:spacing w:after="0" w:line="6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market price for our common stock is volatile and may fluctuate significantly in response to a number of factors, most of which we cannot control, including:</w:t>
      </w:r>
    </w:p>
    <w:p>
      <w:pPr>
        <w:spacing w:after="0" w:line="62" w:lineRule="exact"/>
        <w:rPr>
          <w:sz w:val="20"/>
          <w:szCs w:val="20"/>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decision to pursue a strategic reprioritization;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116"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operating results and performance and stock market valuations of other biopharmaceutical companies generally, or those that develop and commercialize cancer drugs in particular;</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or trends in our industry or the economy as a whole;</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Preclinical studies or clinical trial results, should we resume clinical development;</w:t>
      </w:r>
    </w:p>
    <w:p>
      <w:pPr>
        <w:spacing w:after="0" w:line="116" w:lineRule="exact"/>
        <w:rPr>
          <w:rFonts w:ascii="Arial" w:cs="Arial" w:eastAsia="Arial" w:hAnsi="Arial"/>
          <w:sz w:val="18"/>
          <w:szCs w:val="18"/>
          <w:color w:val="auto"/>
        </w:rPr>
      </w:pPr>
    </w:p>
    <w:p>
      <w:pPr>
        <w:ind w:left="760" w:right="14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statements by third parties like trial participants and clinical investigators regarding clinical trials;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 concern as to the safety of drugs developed by us or others;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financial or operational projections we may provide to the public, any changes in these projections or our failure to meet these projections;</w:t>
      </w:r>
    </w:p>
    <w:p>
      <w:pPr>
        <w:spacing w:after="0" w:line="139"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61" w:lineRule="exact"/>
        <w:rPr>
          <w:rFonts w:ascii="Arial" w:cs="Arial" w:eastAsia="Arial" w:hAnsi="Arial"/>
          <w:sz w:val="18"/>
          <w:szCs w:val="18"/>
          <w:color w:val="auto"/>
        </w:rPr>
      </w:pPr>
    </w:p>
    <w:p>
      <w:pPr>
        <w:ind w:left="760" w:right="140" w:hanging="378"/>
        <w:spacing w:after="0" w:line="259"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spacing w:after="0" w:line="77"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FDA determinations on the approval of a product candidate BLA submission;</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sustainability of an active trading market for our common stock;</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sales of our common stock by us, our executive officers, directors and significant stockholders;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mergers or acquisition transactions;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inclusion or removal from certain stock indices;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delisting from Nasdaq;</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reimbursement policies;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medical innovations or new products by our competitors;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changes in our senior management or directors;</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General economic, industry, political and market conditions, including, but not limited to, the ongoing impact of global economic conditions;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natural disasters, pandemics or responses to these events; and</w:t>
      </w:r>
    </w:p>
    <w:p>
      <w:pPr>
        <w:spacing w:after="0" w:line="139" w:lineRule="exact"/>
        <w:rPr>
          <w:rFonts w:ascii="Arial" w:cs="Arial" w:eastAsia="Arial" w:hAnsi="Arial"/>
          <w:sz w:val="16"/>
          <w:szCs w:val="16"/>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the stock market in general and our stock in particular from time to time experiences significant price and volume fluctuations unrelated to the operating performance of particular companies, which has resulted in decreased stock prices for many companies notwithstanding the lack of a fundamental change in their underlying business models or prospects. Public debt and equity markets, and in particular the Nasdaq Capital Market, have experienced extreme price and volume fluctuations that have affected and continue to affect the market prices of equity securities of many biopharmaceutical companies.</w:t>
      </w:r>
    </w:p>
    <w:p>
      <w:pPr>
        <w:spacing w:after="0" w:line="8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Public statements made by third parties such as trial participants and clinical investigators about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harm to our business.</w:t>
      </w:r>
    </w:p>
    <w:p>
      <w:pPr>
        <w:spacing w:after="0" w:line="19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 have the effect of delaying, deferring or preventing a change in control that our stockholders might consider to be in their best interests.</w:t>
      </w:r>
    </w:p>
    <w:p>
      <w:pPr>
        <w:spacing w:after="0" w:line="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begun exploring strategic alternatives, including, but not limited to, an acquisition, merger, reverse merger, sale of assets, strategic partnerships, capital raises or other transactions. If we are approached by a third-party in connection with such process, and our Board of Directors does not believe that a transaction with such party is in the best interest of our stockholders, we may rely on the provisions described above to prevent an acquisition by such party in order to maximize stockholder value. There is no guarantee that we will be able to find a transaction that delivers superior value to our stockholders.</w:t>
      </w:r>
    </w:p>
    <w:p>
      <w:pPr>
        <w:spacing w:after="0" w:line="1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Delaware General Corporation Law confers jurisdiction on the Court of Chancery of the State of Delaware; or (vi) any action asserting a claim against us or any of our directors, officers or other employees governed by the internal affairs doctrine.</w:t>
      </w:r>
    </w:p>
    <w:p>
      <w:pPr>
        <w:spacing w:after="0" w:line="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provisions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w:t>
      </w:r>
    </w:p>
    <w:p>
      <w:pPr>
        <w:spacing w:after="0" w:line="75"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incur further significant additional costs associated with resolving the dispute in other jurisdictions, all of which could seriously harm our business.</w:t>
      </w:r>
    </w:p>
    <w:p>
      <w:pPr>
        <w:spacing w:after="0" w:line="23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research tax credits to reduce future tax payments may be limited or restricted.</w:t>
      </w:r>
    </w:p>
    <w:p>
      <w:pPr>
        <w:spacing w:after="0" w:line="12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have experienced an “ownership change” within the meaning of Section 382 of the Code in the past and there can be no assurance that we will not experience additional ownership changes in the future, including in light of our search for strategic alternatives. As a result, our NOLs and business credits (including R&amp;D credits) may be subject to limitations, and we may be required to pay taxes earlier and in larger amounts than would be the case if our NOLs or R&amp;D credits were freely usable.</w:t>
      </w:r>
    </w:p>
    <w:p>
      <w:pPr>
        <w:spacing w:after="0" w:line="185" w:lineRule="exact"/>
        <w:rPr>
          <w:sz w:val="20"/>
          <w:szCs w:val="20"/>
          <w:color w:val="auto"/>
        </w:rPr>
      </w:pPr>
    </w:p>
    <w:p>
      <w:pPr>
        <w:spacing w:after="0" w:line="307" w:lineRule="auto"/>
        <w:rPr>
          <w:sz w:val="20"/>
          <w:szCs w:val="20"/>
          <w:color w:val="auto"/>
        </w:rPr>
      </w:pPr>
      <w:r>
        <w:rPr>
          <w:rFonts w:ascii="Arial" w:cs="Arial" w:eastAsia="Arial" w:hAnsi="Arial"/>
          <w:sz w:val="17"/>
          <w:szCs w:val="17"/>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 If our common stock is delisted by Nasdaq, the impact of analysts ceasing to cover our securities may negatively impact the price of our common stock more dramatically.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stockholders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our Board of Directors elects to pursue a strategic alternative requiring a stockholder vote, activists may pursue a campaign against the transaction and as a result may make consummating the transaction more difficult, or impossible, despite the Board of Directors' conclusions that such transaction is in the best interest of our stockholders.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260"/>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September 30, 2023, we had warrants for 22,922,342 shares of our common stock outstanding at a weighted average exercise price of $5.62 per share. We are able to grant stock options, restricted stock, restricted stock units, stock appreciation rights, bonus stocks, and performance awards under the 2020 Equity Incentive Plan. As of September 30, 2023 under the 2020 Equity Incentive Plan and our 2012 Equity Incentive Plan, 12,417,029 shares were issuable upon the exercise of outstanding options at a weighted average exercise price of $1.51 per share.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September 30, 2023, our executive officers, directors and holders of five percent or more of our outstanding common stock beneficially owned, in the aggregate, 22.8%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83" w:lineRule="exact"/>
        <w:rPr>
          <w:sz w:val="20"/>
          <w:szCs w:val="20"/>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either (i) our public float exceeds $250 million, as of the last business day of our most recently completed second quarter, if our annual revenues equal or exceed $100 million in our most recently completed fiscal year, or (ii) our public float exceeds $700 million, as of the last business day of our most recently completed second quarter, if our annual revenues are less than $100 million in our most recently completed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Trading Plans of Directors and Executive Officers</w:t>
      </w:r>
    </w:p>
    <w:p>
      <w:pPr>
        <w:spacing w:after="0" w:line="10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During the three months ended September 30, 2023,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179" w:lineRule="exact"/>
        <w:rPr>
          <w:sz w:val="20"/>
          <w:szCs w:val="20"/>
          <w:color w:val="auto"/>
        </w:rPr>
      </w:pPr>
    </w:p>
    <w:p>
      <w:pPr>
        <w:ind w:right="30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280"/>
        <w:spacing w:after="0" w:line="341" w:lineRule="auto"/>
        <w:rPr>
          <w:sz w:val="20"/>
          <w:szCs w:val="20"/>
          <w:color w:val="auto"/>
        </w:rPr>
      </w:pPr>
      <w:r>
        <w:rPr>
          <w:rFonts w:ascii="Arial" w:cs="Arial" w:eastAsia="Arial" w:hAnsi="Arial"/>
          <w:sz w:val="16"/>
          <w:szCs w:val="16"/>
          <w:color w:val="auto"/>
        </w:rPr>
        <w:t>On August 14, 2023, we entered into a retention letter agreement, or the Lackey Retention Agreement, with Melinda Lackey, our Senior Vice President, Legal and Administration , providing for a retention bonus as an incentive for her continued service through our exploration of strategic alternatives.</w:t>
      </w:r>
    </w:p>
    <w:p>
      <w:pPr>
        <w:spacing w:after="0" w:line="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Lackey Retention Agreement provides that if Ms. Lackey remains fully employed until the earlier of (i) the completion of the Transaction (as defined in the Lackey Retention Agreement) and (ii) the date that we terminate Ms. Lackey for any reason other than for failure to perform her duties at an Acceptable Level (as defined in the Lackey Retention Agreement), such period is referred to herein as the Lackey Transition Period, performs her duties at an Acceptable Level and signs a separation and release agreement, Ms. Lackey will be entitled to a bonus in the amount of 0.5 times her then monthly base for each month after August 15, 2023. The amount of the bonus will be paid in a lump sum at the end of the Lackey Transition Period and prorated as appropriate. If we terminate Ms. Lackey’s employment for any reason other than failure to perform her duties at an Acceptable Level, including as a result of Ms. Lackey’s death or permanent disability, Ms. Lackey will be deemed to have earned her bonus in full.</w:t>
      </w:r>
    </w:p>
    <w:p>
      <w:pPr>
        <w:spacing w:after="0" w:line="73"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On September 1, 2023, we entered into a retention letter agreement, or the Deniger Retention Agreement, with Drew Deniger, our Vice President, Research and Development, providing for a retention bonus as an incentive for his continued service through our exploration of strategic alternatives.</w:t>
      </w:r>
    </w:p>
    <w:p>
      <w:pPr>
        <w:spacing w:after="0" w:line="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Deniger Retention Agreement provides that if Dr. Deniger remains fully employed until the earlier of (i) the completion of the Transaction (as defined in the Deniger Retention Agreement) and (ii) the date that we terminate Dr. Deniger for any reason other than for failure to perform his duties at an Acceptable Level (as defined in the Deniger Retention Agreement), such period is referred to herein as the Deniger Transition Period, performs his duties at an Acceptable Level and signs a separation and release agreement, Dr. Deniger will be entitled to a bonus in the amount of 0.5 times his then monthly base for each month after August 15, 2023. The amount of the bonus will be paid in a lump sum at the end of the Deniger Transition Period and prorated as appropriate. If we terminate Dr. Deniger's employment for any reason other than failure to perform his duties at an Acceptable Level, including as a result of Dr. Deniger’s death or permanent disability, Dr. Deniger will be deemed to have earned his bonus in full.</w:t>
      </w:r>
    </w:p>
    <w:p>
      <w:pPr>
        <w:spacing w:after="0" w:line="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foregoing descriptions of the Lackey Retention Agreement and Deniger Retention Agreement are summaries, do not purport to be complete and are qualified in their entirety by reference to the Retention Agreement, which is attached hereto as Exhibit 10.1 and Exhibit 10.2, respectively, and each are incorporated herein by reference.</w:t>
      </w:r>
    </w:p>
    <w:p>
      <w:pPr>
        <w:spacing w:after="0" w:line="7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November 10, 2023, we terminated the employment of Ms. Lackey and Dr. Deniger "Without Cause" (as defined in their respective employment agreements) and, per their respective Retention Agreements, not because either failed to perform their duties at an "Acceptable Level" (as defined therein), effective November 15, 2023. The Company expects to enter into a Severance Agreement with Dr. Deniger pursuant to which, among other things, he will remain reasonably available to the Company in connection with its consideration of strategic alternatives, including a potential transaction relating to the Company's scientific assets. In addition, the Company expects to enter into a Severance Agreement and Consulting Agreement with Ms. Lackey.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12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5120" w:type="dxa"/>
            <w:vAlign w:val="bottom"/>
            <w:tcBorders>
              <w:bottom w:val="single" w:sz="8" w:color="auto"/>
            </w:tcBorders>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2"/>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rFonts w:ascii="Arial" w:cs="Arial" w:eastAsia="Arial" w:hAnsi="Arial"/>
                <w:sz w:val="18"/>
                <w:szCs w:val="18"/>
                <w:color w:val="0000FF"/>
                <w:w w:val="92"/>
              </w:rPr>
            </w:pPr>
            <w:hyperlink r:id="rId185">
              <w:r>
                <w:rPr>
                  <w:rFonts w:ascii="Arial" w:cs="Arial" w:eastAsia="Arial" w:hAnsi="Arial"/>
                  <w:sz w:val="18"/>
                  <w:szCs w:val="18"/>
                  <w:color w:val="0000FF"/>
                  <w:w w:val="92"/>
                </w:rPr>
                <w:t>Amended and Restated Certificate of Incorporation of the Registrant, and all amendments thereto (incorporated by reference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0"/>
          </w:tcPr>
          <w:p>
            <w:pPr>
              <w:spacing w:after="0" w:line="195" w:lineRule="exact"/>
              <w:rPr>
                <w:rFonts w:ascii="Arial" w:cs="Arial" w:eastAsia="Arial" w:hAnsi="Arial"/>
                <w:sz w:val="18"/>
                <w:szCs w:val="18"/>
                <w:color w:val="0000FF"/>
              </w:rPr>
            </w:pPr>
            <w:hyperlink r:id="rId185">
              <w:r>
                <w:rPr>
                  <w:rFonts w:ascii="Arial" w:cs="Arial" w:eastAsia="Arial" w:hAnsi="Arial"/>
                  <w:sz w:val="18"/>
                  <w:szCs w:val="18"/>
                  <w:color w:val="0000FF"/>
                </w:rPr>
                <w:t>Exhibit 3.1 to the Registrant's Quarterly Report on Form 10-Q for the period ended June 30, 2023).</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Amended and Restated Bylaws of the Registrant, dated as of September 21, 2020 (incorporated by reference to Exhibit 3.1 to the</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0"/>
          </w:tcPr>
          <w:p>
            <w:pPr>
              <w:spacing w:after="0" w:line="195" w:lineRule="exact"/>
              <w:rPr>
                <w:rFonts w:ascii="Arial" w:cs="Arial" w:eastAsia="Arial" w:hAnsi="Arial"/>
                <w:sz w:val="18"/>
                <w:szCs w:val="18"/>
                <w:color w:val="0000FF"/>
              </w:rPr>
            </w:pPr>
            <w:hyperlink r:id="rId186">
              <w:r>
                <w:rPr>
                  <w:rFonts w:ascii="Arial" w:cs="Arial" w:eastAsia="Arial" w:hAnsi="Arial"/>
                  <w:sz w:val="18"/>
                  <w:szCs w:val="18"/>
                  <w:color w:val="0000FF"/>
                </w:rPr>
                <w:t>Registrant’s Current Report on Form 8-K, SEC File No. 001-33038, filed September 22, 2020).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0000FF"/>
              </w:rPr>
              <w:t>Retention Agreement, dated as of August 14, 2023, between the Registrant and Melinda Lackey.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0000FF"/>
              </w:rPr>
              <w:t>Retention Agreement, dated as of August 14, 2023, between the Registrant and Drew Deniger.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Exchange Act Rule 13a-14(a) or</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0"/>
          </w:tcPr>
          <w:p>
            <w:pPr>
              <w:spacing w:after="0" w:line="195" w:lineRule="exact"/>
              <w:rPr>
                <w:sz w:val="20"/>
                <w:szCs w:val="20"/>
                <w:color w:val="auto"/>
              </w:rPr>
            </w:pPr>
            <w:r>
              <w:rPr>
                <w:rFonts w:ascii="Arial" w:cs="Arial" w:eastAsia="Arial" w:hAnsi="Arial"/>
                <w:sz w:val="18"/>
                <w:szCs w:val="18"/>
                <w:color w:val="0000FF"/>
              </w:rPr>
              <w:t>15(d)-14(a), as adopted pursuant to Section 302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tcBorders>
              <w:right w:val="single" w:sz="8" w:color="0000EE"/>
            </w:tcBorders>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0000FF"/>
                <w:w w:val="96"/>
              </w:rPr>
              <w:t>Certifications of Principal Executive Officer and Principal Financial Officer pursuant to 18 U.S.C. Section 1350, as adopted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80" w:type="dxa"/>
            <w:vAlign w:val="bottom"/>
            <w:tcBorders>
              <w:right w:val="single" w:sz="8" w:color="0000FF"/>
            </w:tcBorders>
            <w:shd w:val="clear" w:color="auto" w:fill="0000FF"/>
          </w:tcPr>
          <w:p>
            <w:pPr>
              <w:spacing w:after="0" w:line="20" w:lineRule="exact"/>
              <w:rPr>
                <w:sz w:val="1"/>
                <w:szCs w:val="1"/>
                <w:color w:val="auto"/>
              </w:rPr>
            </w:pPr>
          </w:p>
        </w:tc>
        <w:tc>
          <w:tcPr>
            <w:tcW w:w="4640" w:type="dxa"/>
            <w:vAlign w:val="bottom"/>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10"/>
          </w:tcPr>
          <w:p>
            <w:pPr>
              <w:spacing w:after="0" w:line="195" w:lineRule="exact"/>
              <w:rPr>
                <w:sz w:val="20"/>
                <w:szCs w:val="20"/>
                <w:color w:val="auto"/>
              </w:rPr>
            </w:pPr>
            <w:r>
              <w:rPr>
                <w:rFonts w:ascii="Arial" w:cs="Arial" w:eastAsia="Arial" w:hAnsi="Arial"/>
                <w:sz w:val="18"/>
                <w:szCs w:val="18"/>
                <w:color w:val="0000FF"/>
              </w:rPr>
              <w:t>pursuant to Section 906 of the Sarbanes-Oxley Act of 2002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280" w:type="dxa"/>
            <w:vAlign w:val="bottom"/>
            <w:tcBorders>
              <w:right w:val="single" w:sz="8" w:color="0000EE"/>
            </w:tcBorders>
            <w:shd w:val="clear" w:color="auto" w:fill="0000EE"/>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Inline XBRL Taxonomy Definition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w w:val="94"/>
              </w:rPr>
              <w:t>Cover Page Interactive Data File—the cover page interactive data is embedded within the Inline XBRL document or included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within the Exhibit 101 attachments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w w:val="90"/>
              </w:rPr>
              <w:t>This certification is deemed not filed for purposes of Section 18 of the Securities Exchange Act of 1934, as amended, or otherwise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w w:val="93"/>
              </w:rPr>
              <w:t>subject to the liability of that section, nor shall it be deemed incorporated by reference into any filing under the Securities Act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w w:val="90"/>
              </w:rPr>
              <w:t>1933, as amended, or the Securities Exchange Act of 1934, as amended, whether made before or after the date hereof, regardless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of any general incorporation language in such filing.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0" w:type="dxa"/>
            <w:vAlign w:val="bottom"/>
            <w:gridSpan w:val="10"/>
          </w:tcPr>
          <w:p>
            <w:pPr>
              <w:spacing w:after="0"/>
              <w:rPr>
                <w:sz w:val="20"/>
                <w:szCs w:val="20"/>
                <w:color w:val="auto"/>
              </w:rPr>
            </w:pPr>
            <w:r>
              <w:rPr>
                <w:rFonts w:ascii="Arial" w:cs="Arial" w:eastAsia="Arial" w:hAnsi="Arial"/>
                <w:sz w:val="18"/>
                <w:szCs w:val="18"/>
                <w:color w:val="auto"/>
              </w:rPr>
              <w:t>Indicates management contract or compensatory plan.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60" w:type="dxa"/>
            <w:vAlign w:val="bottom"/>
            <w:gridSpan w:val="3"/>
          </w:tcPr>
          <w:p>
            <w:pPr>
              <w:jc w:val="right"/>
              <w:ind w:right="210"/>
              <w:spacing w:after="0"/>
              <w:rPr>
                <w:sz w:val="20"/>
                <w:szCs w:val="20"/>
                <w:color w:val="auto"/>
              </w:rPr>
            </w:pPr>
            <w:r>
              <w:rPr>
                <w:rFonts w:ascii="Arial" w:cs="Arial" w:eastAsia="Arial" w:hAnsi="Arial"/>
                <w:sz w:val="18"/>
                <w:szCs w:val="18"/>
                <w:color w:val="auto"/>
              </w:rPr>
              <w:t>57</w:t>
            </w: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ALAUNOS THERAPEUTICS, INC.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S. Boyle, Sr.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S. Boyle, Sr.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(On Behalf of the Registrant and as Principal Executive Officer and Principal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14, 2023</w:t>
      </w: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Wong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Wong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14, 2023</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1" w:name="page62"/>
    <w:bookmarkEnd w:id="61"/>
    <w:p>
      <w:pPr>
        <w:ind w:left="57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5396865</wp:posOffset>
            </wp:positionH>
            <wp:positionV relativeFrom="page">
              <wp:posOffset>88900</wp:posOffset>
            </wp:positionV>
            <wp:extent cx="1917700" cy="5054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917700" cy="505460"/>
                    </a:xfrm>
                    <a:prstGeom prst="rect">
                      <a:avLst/>
                    </a:prstGeom>
                    <a:noFill/>
                  </pic:spPr>
                </pic:pic>
              </a:graphicData>
            </a:graphic>
          </wp:anchor>
        </w:drawing>
        <w:t>Exhibit 10.1</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August 14, 2023</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Melinda Lackey</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Re: Confidential Retention Agreement</w:t>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Dear Melinda,</w:t>
      </w:r>
    </w:p>
    <w:p>
      <w:pPr>
        <w:spacing w:after="0" w:line="205" w:lineRule="exact"/>
        <w:rPr>
          <w:sz w:val="20"/>
          <w:szCs w:val="20"/>
          <w:color w:val="auto"/>
        </w:rPr>
      </w:pPr>
    </w:p>
    <w:p>
      <w:pPr>
        <w:jc w:val="both"/>
        <w:ind w:right="80"/>
        <w:spacing w:after="0" w:line="276" w:lineRule="auto"/>
        <w:rPr>
          <w:sz w:val="20"/>
          <w:szCs w:val="20"/>
          <w:color w:val="auto"/>
        </w:rPr>
      </w:pPr>
      <w:r>
        <w:rPr>
          <w:rFonts w:ascii="Arial" w:cs="Arial" w:eastAsia="Arial" w:hAnsi="Arial"/>
          <w:sz w:val="20"/>
          <w:szCs w:val="20"/>
          <w:color w:val="auto"/>
        </w:rPr>
        <w:t>We greatly value the work you do for Alaunos, and we need you to continue making your valuable contributions. As an incentive for you to stay with Alaunos during this period of transition, Alaunos is pleased to offer you a retention bonus (the “</w:t>
      </w:r>
      <w:r>
        <w:rPr>
          <w:rFonts w:ascii="Arial" w:cs="Arial" w:eastAsia="Arial" w:hAnsi="Arial"/>
          <w:sz w:val="20"/>
          <w:szCs w:val="20"/>
          <w:u w:val="single" w:color="auto"/>
          <w:color w:val="auto"/>
        </w:rPr>
        <w:t>Retention Bonus</w:t>
      </w:r>
      <w:r>
        <w:rPr>
          <w:rFonts w:ascii="Arial" w:cs="Arial" w:eastAsia="Arial" w:hAnsi="Arial"/>
          <w:sz w:val="20"/>
          <w:szCs w:val="20"/>
          <w:color w:val="auto"/>
        </w:rPr>
        <w:t>”) pursuant to and in accordance with this Confidential Retention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58"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20"/>
          <w:szCs w:val="20"/>
          <w:color w:val="auto"/>
        </w:rPr>
      </w:pPr>
      <w:r>
        <w:rPr>
          <w:rFonts w:ascii="Arial" w:cs="Arial" w:eastAsia="Arial" w:hAnsi="Arial"/>
          <w:sz w:val="20"/>
          <w:szCs w:val="20"/>
          <w:b w:val="1"/>
          <w:bCs w:val="1"/>
          <w:u w:val="single" w:color="auto"/>
          <w:color w:val="auto"/>
        </w:rPr>
        <w:t>Eligibility for Retention Bonus</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and to earn and retain the full amount of the Retention Bonus, you</w:t>
      </w:r>
    </w:p>
    <w:p>
      <w:pPr>
        <w:spacing w:after="0" w:line="3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must:</w:t>
      </w:r>
    </w:p>
    <w:p>
      <w:pPr>
        <w:spacing w:after="0" w:line="214" w:lineRule="exact"/>
        <w:rPr>
          <w:rFonts w:ascii="Arial" w:cs="Arial" w:eastAsia="Arial" w:hAnsi="Arial"/>
          <w:sz w:val="20"/>
          <w:szCs w:val="20"/>
          <w:color w:val="auto"/>
        </w:rPr>
      </w:pPr>
    </w:p>
    <w:p>
      <w:pPr>
        <w:jc w:val="both"/>
        <w:ind w:left="1140" w:hanging="563"/>
        <w:spacing w:after="0" w:line="236" w:lineRule="auto"/>
        <w:tabs>
          <w:tab w:leader="none" w:pos="11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Remain fully employed by Alaunos until the earlier of (such employment period, the “</w:t>
      </w:r>
      <w:r>
        <w:rPr>
          <w:rFonts w:ascii="Arial" w:cs="Arial" w:eastAsia="Arial" w:hAnsi="Arial"/>
          <w:sz w:val="22"/>
          <w:szCs w:val="22"/>
          <w:u w:val="single" w:color="auto"/>
          <w:color w:val="auto"/>
        </w:rPr>
        <w:t>Transition Period</w:t>
      </w:r>
      <w:r>
        <w:rPr>
          <w:rFonts w:ascii="Arial" w:cs="Arial" w:eastAsia="Arial" w:hAnsi="Arial"/>
          <w:sz w:val="22"/>
          <w:szCs w:val="22"/>
          <w:color w:val="auto"/>
        </w:rPr>
        <w:t>”) (i) the completion of the Transaction (defined as the close of a strategic transaction or a bankruptcy filing by the Company in the event of no strategic transaction) or (ii) the date that Alaunos terminates your employment for any reason, or no reason, other than if your employment is terminated because you failed to perform your duties at an Acceptable Level (as defined below);</w:t>
      </w:r>
    </w:p>
    <w:p>
      <w:pPr>
        <w:spacing w:after="0" w:line="212" w:lineRule="exact"/>
        <w:rPr>
          <w:rFonts w:ascii="Arial" w:cs="Arial" w:eastAsia="Arial" w:hAnsi="Arial"/>
          <w:sz w:val="22"/>
          <w:szCs w:val="22"/>
          <w:color w:val="auto"/>
        </w:rPr>
      </w:pPr>
    </w:p>
    <w:p>
      <w:pPr>
        <w:ind w:left="1140" w:hanging="563"/>
        <w:spacing w:after="0"/>
        <w:tabs>
          <w:tab w:leader="none" w:pos="11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Continue to perform your duties at an Acceptable Level through the Transition Period; and</w:t>
      </w:r>
    </w:p>
    <w:p>
      <w:pPr>
        <w:spacing w:after="0" w:line="232" w:lineRule="exact"/>
        <w:rPr>
          <w:rFonts w:ascii="Arial" w:cs="Arial" w:eastAsia="Arial" w:hAnsi="Arial"/>
          <w:sz w:val="22"/>
          <w:szCs w:val="22"/>
          <w:color w:val="auto"/>
        </w:rPr>
      </w:pPr>
    </w:p>
    <w:p>
      <w:pPr>
        <w:ind w:left="1140" w:hanging="563"/>
        <w:spacing w:after="0" w:line="250" w:lineRule="auto"/>
        <w:tabs>
          <w:tab w:leader="none" w:pos="11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Sign, and do not revoke, the separation and release agreement (the “</w:t>
      </w: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provided in the Release of Claims.</w:t>
      </w:r>
    </w:p>
    <w:p>
      <w:pPr>
        <w:spacing w:after="0" w:line="201" w:lineRule="exact"/>
        <w:rPr>
          <w:sz w:val="20"/>
          <w:szCs w:val="20"/>
          <w:color w:val="auto"/>
        </w:rPr>
      </w:pPr>
    </w:p>
    <w:p>
      <w:pPr>
        <w:jc w:val="both"/>
        <w:ind w:left="760"/>
        <w:spacing w:after="0" w:line="271" w:lineRule="auto"/>
        <w:rPr>
          <w:sz w:val="20"/>
          <w:szCs w:val="20"/>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Acceptable Level</w:t>
      </w:r>
      <w:r>
        <w:rPr>
          <w:rFonts w:ascii="Arial" w:cs="Arial" w:eastAsia="Arial" w:hAnsi="Arial"/>
          <w:sz w:val="19"/>
          <w:szCs w:val="19"/>
          <w:color w:val="auto"/>
        </w:rPr>
        <w:t>” means your full compliance with each of the following: (i) devoting substantially all of your professional and business-related time, skills and efforts to Alaunos; (ii) maintaining at least a satisfactory accomplishment of your assigned business objectives in accordance with Alaunos’ policies and procedures and in accordance with general industry standards; (iii) complying with the terms and conditions of this Agreement; and</w:t>
      </w:r>
    </w:p>
    <w:p>
      <w:pPr>
        <w:spacing w:after="0" w:line="2" w:lineRule="exact"/>
        <w:rPr>
          <w:sz w:val="20"/>
          <w:szCs w:val="20"/>
          <w:color w:val="auto"/>
        </w:rPr>
      </w:pPr>
    </w:p>
    <w:p>
      <w:pPr>
        <w:ind w:left="760" w:hanging="3"/>
        <w:spacing w:after="0" w:line="236" w:lineRule="auto"/>
        <w:tabs>
          <w:tab w:leader="none" w:pos="1126"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complying in all material respects with the employee policies and procedures of the Company, including with respect to business ethics and compliance with applicable laws.</w:t>
      </w:r>
    </w:p>
    <w:p>
      <w:pPr>
        <w:spacing w:after="0" w:line="206" w:lineRule="exact"/>
        <w:rPr>
          <w:rFonts w:ascii="Arial" w:cs="Arial" w:eastAsia="Arial" w:hAnsi="Arial"/>
          <w:sz w:val="22"/>
          <w:szCs w:val="22"/>
          <w:color w:val="auto"/>
        </w:rPr>
      </w:pPr>
    </w:p>
    <w:p>
      <w:pPr>
        <w:ind w:left="520" w:hanging="512"/>
        <w:spacing w:after="0"/>
        <w:tabs>
          <w:tab w:leader="none" w:pos="520" w:val="left"/>
        </w:tabs>
        <w:numPr>
          <w:ilvl w:val="0"/>
          <w:numId w:val="46"/>
        </w:numPr>
        <w:rPr>
          <w:rFonts w:ascii="Arial" w:cs="Arial" w:eastAsia="Arial" w:hAnsi="Arial"/>
          <w:sz w:val="22"/>
          <w:szCs w:val="22"/>
          <w:color w:val="auto"/>
        </w:rPr>
      </w:pPr>
      <w:r>
        <w:rPr>
          <w:rFonts w:ascii="Arial" w:cs="Arial" w:eastAsia="Arial" w:hAnsi="Arial"/>
          <w:sz w:val="22"/>
          <w:szCs w:val="22"/>
          <w:b w:val="1"/>
          <w:bCs w:val="1"/>
          <w:u w:val="single" w:color="auto"/>
          <w:color w:val="auto"/>
        </w:rPr>
        <w:t>Retention Bonus</w:t>
      </w:r>
      <w:r>
        <w:rPr>
          <w:rFonts w:ascii="Arial" w:cs="Arial" w:eastAsia="Arial" w:hAnsi="Arial"/>
          <w:sz w:val="22"/>
          <w:szCs w:val="22"/>
          <w:color w:val="auto"/>
        </w:rPr>
        <w:t>. A retention bonus in the amount of 0.5x your monthly base salary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4818-6467-4476\1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2" w:name="page63"/>
    <w:bookmarkEnd w:id="62"/>
    <w:p>
      <w:pPr>
        <w:ind w:firstLine="509"/>
        <w:spacing w:after="0" w:line="299" w:lineRule="auto"/>
        <w:rPr>
          <w:sz w:val="20"/>
          <w:szCs w:val="20"/>
          <w:color w:val="auto"/>
        </w:rPr>
      </w:pPr>
      <w:r>
        <w:rPr>
          <w:rFonts w:ascii="Arial" w:cs="Arial" w:eastAsia="Arial" w:hAnsi="Arial"/>
          <w:sz w:val="20"/>
          <w:szCs w:val="20"/>
          <w:color w:val="auto"/>
        </w:rPr>
        <w:t>for each month employed beginning August 15, 2023 prorated, if appropriate, less applicable deductions and withholdings (the “</w:t>
      </w:r>
      <w:r>
        <w:rPr>
          <w:rFonts w:ascii="Arial" w:cs="Arial" w:eastAsia="Arial" w:hAnsi="Arial"/>
          <w:sz w:val="20"/>
          <w:szCs w:val="20"/>
          <w:u w:val="single" w:color="auto"/>
          <w:color w:val="auto"/>
        </w:rPr>
        <w:t>Retention Bonus</w:t>
      </w:r>
      <w:r>
        <w:rPr>
          <w:rFonts w:ascii="Arial" w:cs="Arial" w:eastAsia="Arial" w:hAnsi="Arial"/>
          <w:sz w:val="20"/>
          <w:szCs w:val="20"/>
          <w:color w:val="auto"/>
        </w:rPr>
        <w:t>”), will be paid to you in a lump sum payment on the last date of the Transition Period.</w:t>
      </w:r>
    </w:p>
    <w:p>
      <w:pPr>
        <w:spacing w:after="0" w:line="149"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b w:val="1"/>
          <w:bCs w:val="1"/>
          <w:color w:val="auto"/>
        </w:rPr>
        <w:t>.</w:t>
      </w:r>
    </w:p>
    <w:p>
      <w:pPr>
        <w:spacing w:after="0" w:line="238" w:lineRule="exact"/>
        <w:rPr>
          <w:rFonts w:ascii="Arial" w:cs="Arial" w:eastAsia="Arial" w:hAnsi="Arial"/>
          <w:sz w:val="22"/>
          <w:szCs w:val="22"/>
          <w:color w:val="auto"/>
        </w:rPr>
      </w:pPr>
    </w:p>
    <w:p>
      <w:pPr>
        <w:jc w:val="both"/>
        <w:ind w:firstLine="517"/>
        <w:spacing w:after="0" w:line="276" w:lineRule="auto"/>
        <w:tabs>
          <w:tab w:leader="none" w:pos="867"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If, prior to the end of the Transition Period, you are involuntarily terminated by Alaunos for any reason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your failure to perform your duties at an Acceptable Level, you will be deemed to have earned and you will be entitled to retain the full amount of the Retention Bonus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you timely sign, and do not revoke, the Release of Claims.</w:t>
      </w:r>
    </w:p>
    <w:p>
      <w:pPr>
        <w:spacing w:after="0" w:line="150" w:lineRule="exact"/>
        <w:rPr>
          <w:rFonts w:ascii="Arial" w:cs="Arial" w:eastAsia="Arial" w:hAnsi="Arial"/>
          <w:sz w:val="20"/>
          <w:szCs w:val="20"/>
          <w:color w:val="auto"/>
        </w:rPr>
      </w:pPr>
    </w:p>
    <w:p>
      <w:pPr>
        <w:jc w:val="both"/>
        <w:ind w:firstLine="517"/>
        <w:spacing w:after="0"/>
        <w:tabs>
          <w:tab w:leader="none" w:pos="862"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prior to the end of the Transition Period, you die or become permanently disabled (in accordance with the terms of Alaunos insurance policies), you will be deemed to have earned, and you or your estate will be entitled to retain, the full amount of the Retention Bonus.</w:t>
      </w:r>
    </w:p>
    <w:p>
      <w:pPr>
        <w:spacing w:after="0" w:line="211" w:lineRule="exact"/>
        <w:rPr>
          <w:rFonts w:ascii="Arial" w:cs="Arial" w:eastAsia="Arial" w:hAnsi="Arial"/>
          <w:sz w:val="22"/>
          <w:szCs w:val="22"/>
          <w:color w:val="auto"/>
        </w:rPr>
      </w:pPr>
    </w:p>
    <w:p>
      <w:pPr>
        <w:jc w:val="both"/>
        <w:ind w:firstLine="517"/>
        <w:spacing w:after="0"/>
        <w:tabs>
          <w:tab w:leader="none" w:pos="857" w:val="left"/>
        </w:tabs>
        <w:numPr>
          <w:ilvl w:val="1"/>
          <w:numId w:val="47"/>
        </w:numPr>
        <w:rPr>
          <w:rFonts w:ascii="Arial" w:cs="Arial" w:eastAsia="Arial" w:hAnsi="Arial"/>
          <w:sz w:val="22"/>
          <w:szCs w:val="22"/>
          <w:color w:val="auto"/>
        </w:rPr>
      </w:pPr>
      <w:r>
        <w:rPr>
          <w:rFonts w:ascii="Arial" w:cs="Arial" w:eastAsia="Arial" w:hAnsi="Arial"/>
          <w:sz w:val="22"/>
          <w:szCs w:val="22"/>
          <w:color w:val="auto"/>
        </w:rPr>
        <w:t>If your employment is involuntarily terminated by Alaunos prior to the end of the Transition Period due to your failure to perform your duties at an Acceptable Level, you will not have earned, and you will not be entitled to retain, any portion of the Retention Bonus.</w:t>
      </w:r>
    </w:p>
    <w:p>
      <w:pPr>
        <w:spacing w:after="0" w:line="212" w:lineRule="exact"/>
        <w:rPr>
          <w:sz w:val="20"/>
          <w:szCs w:val="20"/>
          <w:color w:val="auto"/>
        </w:rPr>
      </w:pPr>
    </w:p>
    <w:p>
      <w:pPr>
        <w:jc w:val="both"/>
        <w:ind w:firstLine="8"/>
        <w:spacing w:after="0"/>
        <w:tabs>
          <w:tab w:leader="none" w:pos="385"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If you resign from your employment for any reason or no reason, or otherwise cease active, full-time employment with Alaunos (except as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prior to the end of the Transition Period, you will not have earned, and you will not be entitled to retain, any portion of the Retention Bonus.</w:t>
      </w:r>
    </w:p>
    <w:p>
      <w:pPr>
        <w:spacing w:after="0" w:line="206" w:lineRule="exact"/>
        <w:rPr>
          <w:sz w:val="20"/>
          <w:szCs w:val="20"/>
          <w:color w:val="auto"/>
        </w:rPr>
      </w:pPr>
    </w:p>
    <w:p>
      <w:pPr>
        <w:jc w:val="both"/>
        <w:ind w:firstLine="8"/>
        <w:spacing w:after="0" w:line="243" w:lineRule="auto"/>
        <w:tabs>
          <w:tab w:leader="none" w:pos="509"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does not change your status as an at-will employee of Alaunos.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Alaunos may terminate your employment at any time, with or without cause, and with or without advance notice, for any reason not prohibited by law.</w:t>
      </w:r>
    </w:p>
    <w:p>
      <w:pPr>
        <w:spacing w:after="0" w:line="202" w:lineRule="exact"/>
        <w:rPr>
          <w:rFonts w:ascii="Arial" w:cs="Arial" w:eastAsia="Arial" w:hAnsi="Arial"/>
          <w:sz w:val="22"/>
          <w:szCs w:val="22"/>
          <w:color w:val="auto"/>
        </w:rPr>
      </w:pPr>
    </w:p>
    <w:p>
      <w:pPr>
        <w:jc w:val="both"/>
        <w:ind w:firstLine="8"/>
        <w:spacing w:after="0" w:line="234" w:lineRule="auto"/>
        <w:tabs>
          <w:tab w:leader="none" w:pos="509"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You must keep the terms of this Agreement, including the amount of your Retention Bonus, strictly</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confidential and not disclose them to anyone—including, but not limited to your co-workers—with the exception of your spouse, legal counsel and financial advisors, or as required by law. </w:t>
      </w:r>
      <w:r>
        <w:rPr>
          <w:rFonts w:ascii="Arial" w:cs="Arial" w:eastAsia="Arial" w:hAnsi="Arial"/>
          <w:sz w:val="22"/>
          <w:szCs w:val="22"/>
          <w:color w:val="auto"/>
        </w:rPr>
        <w:t>If you violate this Agreement, you forfeit your rights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earn and retain the Retention Bonus, and you must repay to Alaunos the full amount of the Retention Bonus. Notwithstanding the foregoing, nothing in this Agreement is intended to, or does, limit your right to participate in any Equal Employment Opportunity Commission (“</w:t>
      </w:r>
      <w:r>
        <w:rPr>
          <w:rFonts w:ascii="Arial" w:cs="Arial" w:eastAsia="Arial" w:hAnsi="Arial"/>
          <w:sz w:val="22"/>
          <w:szCs w:val="22"/>
          <w:u w:val="single" w:color="auto"/>
          <w:color w:val="auto"/>
        </w:rPr>
        <w:t>EEOC</w:t>
      </w:r>
      <w:r>
        <w:rPr>
          <w:rFonts w:ascii="Arial" w:cs="Arial" w:eastAsia="Arial" w:hAnsi="Arial"/>
          <w:sz w:val="22"/>
          <w:szCs w:val="22"/>
          <w:color w:val="auto"/>
        </w:rPr>
        <w:t>”) or other government agency investigation or proceeding. Similarly, nothing in this Agreement is intended to, or does, limit your rights to engage in protected activity under the National Labor Relations Act (“</w:t>
      </w:r>
      <w:r>
        <w:rPr>
          <w:rFonts w:ascii="Arial" w:cs="Arial" w:eastAsia="Arial" w:hAnsi="Arial"/>
          <w:sz w:val="22"/>
          <w:szCs w:val="22"/>
          <w:u w:val="single" w:color="auto"/>
          <w:color w:val="auto"/>
        </w:rPr>
        <w:t>NLRA</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firstLine="8"/>
        <w:spacing w:after="0" w:line="235" w:lineRule="auto"/>
        <w:tabs>
          <w:tab w:leader="none" w:pos="509"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color w:val="auto"/>
        </w:rPr>
        <w:t>. Except in the context of an EEOC or other government agency investigation or proceeding, or</w:t>
      </w:r>
      <w:r>
        <w:rPr>
          <w:rFonts w:ascii="Arial" w:cs="Arial" w:eastAsia="Arial" w:hAnsi="Arial"/>
          <w:sz w:val="22"/>
          <w:szCs w:val="22"/>
          <w:b w:val="1"/>
          <w:bCs w:val="1"/>
          <w:color w:val="auto"/>
        </w:rPr>
        <w:t xml:space="preserve"> </w:t>
      </w:r>
      <w:r>
        <w:rPr>
          <w:rFonts w:ascii="Arial" w:cs="Arial" w:eastAsia="Arial" w:hAnsi="Arial"/>
          <w:sz w:val="22"/>
          <w:szCs w:val="22"/>
          <w:color w:val="auto"/>
        </w:rPr>
        <w:t>unless you are called by subpoena to testify under oath, you must refrain from taking any actions or making any statements that denigrate, defame or diminish the goodwill or reputation of Alaunos and its respective directors, officers, partners, employees, advisors or agents. If you violate this Agreement, including this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jc w:val="both"/>
        <w:ind w:firstLine="509"/>
        <w:spacing w:after="0" w:line="268" w:lineRule="auto"/>
        <w:rPr>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 you have not earned and you forfeit your rights to retain any portion of the Retention Bonus, and you must repay the full amount of the Retention Bonus. Notwithstanding the foregoing, nothing in this Agreement is intended to, or does, limit your right to participate in any EEOC or other government agency investigation or proceeding. Similarly, nothing in this Agreement is intended to, or does, limit your rights to engage in protected activity under the NLRA.</w:t>
      </w:r>
    </w:p>
    <w:p>
      <w:pPr>
        <w:spacing w:after="0" w:line="180" w:lineRule="exact"/>
        <w:rPr>
          <w:sz w:val="20"/>
          <w:szCs w:val="20"/>
          <w:color w:val="auto"/>
        </w:rPr>
      </w:pPr>
    </w:p>
    <w:p>
      <w:pPr>
        <w:jc w:val="both"/>
        <w:ind w:firstLine="8"/>
        <w:spacing w:after="0" w:line="279" w:lineRule="auto"/>
        <w:tabs>
          <w:tab w:leader="none" w:pos="509" w:val="left"/>
        </w:tabs>
        <w:numPr>
          <w:ilvl w:val="0"/>
          <w:numId w:val="50"/>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and the attachments hereto are intended to be the entire agreement between Alaunos</w:t>
      </w:r>
      <w:r>
        <w:rPr>
          <w:rFonts w:ascii="Arial" w:cs="Arial" w:eastAsia="Arial" w:hAnsi="Arial"/>
          <w:sz w:val="20"/>
          <w:szCs w:val="20"/>
          <w:b w:val="1"/>
          <w:bCs w:val="1"/>
          <w:color w:val="auto"/>
        </w:rPr>
        <w:t xml:space="preserve"> </w:t>
      </w:r>
      <w:r>
        <w:rPr>
          <w:rFonts w:ascii="Arial" w:cs="Arial" w:eastAsia="Arial" w:hAnsi="Arial"/>
          <w:sz w:val="20"/>
          <w:szCs w:val="20"/>
          <w:color w:val="auto"/>
        </w:rPr>
        <w:t>and you with respect to the subject matter addressed herein. No waiver or modification of any term of this Agreement shall be valid unless made in writing, signed by you and an authorized officer or agent of Alaunos.</w:t>
      </w:r>
    </w:p>
    <w:p>
      <w:pPr>
        <w:spacing w:after="0" w:line="168" w:lineRule="exact"/>
        <w:rPr>
          <w:rFonts w:ascii="Arial" w:cs="Arial" w:eastAsia="Arial" w:hAnsi="Arial"/>
          <w:sz w:val="20"/>
          <w:szCs w:val="20"/>
          <w:color w:val="auto"/>
        </w:rPr>
      </w:pPr>
    </w:p>
    <w:p>
      <w:pPr>
        <w:ind w:firstLine="8"/>
        <w:spacing w:after="0" w:line="256" w:lineRule="auto"/>
        <w:tabs>
          <w:tab w:leader="none" w:pos="509"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Controlling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in all respects be interpreted, enforced, and governed by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Texas, without regard to the state’s conflicts laws.</w:t>
      </w:r>
    </w:p>
    <w:p>
      <w:pPr>
        <w:spacing w:after="0" w:line="188" w:lineRule="exact"/>
        <w:rPr>
          <w:rFonts w:ascii="Arial" w:cs="Arial" w:eastAsia="Arial" w:hAnsi="Arial"/>
          <w:sz w:val="22"/>
          <w:szCs w:val="22"/>
          <w:color w:val="auto"/>
        </w:rPr>
      </w:pPr>
    </w:p>
    <w:p>
      <w:pPr>
        <w:jc w:val="both"/>
        <w:ind w:firstLine="8"/>
        <w:spacing w:after="0" w:line="243" w:lineRule="auto"/>
        <w:tabs>
          <w:tab w:leader="none" w:pos="509"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portion of this Agreement is held invalid by operation of law, it shall be modified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law to render it enforceable. If modification is not permitted by law, the invalid provision shall be struck and the remaining terms of this Agreement shall not be affected.</w:t>
      </w:r>
    </w:p>
    <w:p>
      <w:pPr>
        <w:spacing w:after="0" w:line="202" w:lineRule="exact"/>
        <w:rPr>
          <w:rFonts w:ascii="Arial" w:cs="Arial" w:eastAsia="Arial" w:hAnsi="Arial"/>
          <w:sz w:val="22"/>
          <w:szCs w:val="22"/>
          <w:color w:val="auto"/>
        </w:rPr>
      </w:pPr>
    </w:p>
    <w:p>
      <w:pPr>
        <w:jc w:val="both"/>
        <w:ind w:firstLine="8"/>
        <w:spacing w:after="0" w:line="243" w:lineRule="auto"/>
        <w:tabs>
          <w:tab w:leader="none" w:pos="509"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Compliance</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and agree that Alaunos’ agreement to provide the Retention Bonus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expressly contingent upon your full compliance with the provisions of this Agreement, as well as your performance at an Acceptable Level during your employment term.</w:t>
      </w:r>
    </w:p>
    <w:p>
      <w:pPr>
        <w:spacing w:after="0" w:line="202" w:lineRule="exact"/>
        <w:rPr>
          <w:rFonts w:ascii="Arial" w:cs="Arial" w:eastAsia="Arial" w:hAnsi="Arial"/>
          <w:sz w:val="22"/>
          <w:szCs w:val="22"/>
          <w:color w:val="auto"/>
        </w:rPr>
      </w:pPr>
    </w:p>
    <w:p>
      <w:pPr>
        <w:jc w:val="both"/>
        <w:ind w:firstLine="8"/>
        <w:spacing w:after="0" w:line="283" w:lineRule="auto"/>
        <w:tabs>
          <w:tab w:leader="none" w:pos="509"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inure to the benefit of, and may be enforced by, any of Alaunos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including successors and assigns to all or substantially all of the assets or operations of the Company, whether by merger, acquisition, sale, assignment, operation of law or otherwise. You understand and agree that your duties, rights, and obligations under this Agreement are personal to you. Therefore, your duties, rights, and obligations as set forth herein may not be delegated or assigned by you to any other person without prior written consent of an authorized officer or agent of Alaunos.</w:t>
      </w:r>
    </w:p>
    <w:p>
      <w:pPr>
        <w:spacing w:after="0" w:line="168" w:lineRule="exact"/>
        <w:rPr>
          <w:rFonts w:ascii="Arial" w:cs="Arial" w:eastAsia="Arial" w:hAnsi="Arial"/>
          <w:sz w:val="19"/>
          <w:szCs w:val="19"/>
          <w:color w:val="auto"/>
        </w:rPr>
      </w:pPr>
    </w:p>
    <w:p>
      <w:pPr>
        <w:jc w:val="both"/>
        <w:ind w:firstLine="8"/>
        <w:spacing w:after="0" w:line="237" w:lineRule="auto"/>
        <w:tabs>
          <w:tab w:leader="none" w:pos="509"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Injunctive Relief</w:t>
      </w:r>
      <w:r>
        <w:rPr>
          <w:rFonts w:ascii="Arial" w:cs="Arial" w:eastAsia="Arial" w:hAnsi="Arial"/>
          <w:sz w:val="22"/>
          <w:szCs w:val="22"/>
          <w:color w:val="auto"/>
        </w:rPr>
        <w:t>. You understand and agree that any violation of your obligations arising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(“Confidentiality”) and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(“Non-Disparagement”) will cause irreparable harm to Alaunos that cannot be fully remedied with monetary damages. Accordingly, Alaunos shall be entitled to injunctive relief in order to enforce the foregoing provisions of this Agreement. Alaunos shall be entitled to recover its costs and reasonable attorneys' fees incurred in enforcing its rights under this Agreement.</w:t>
      </w:r>
    </w:p>
    <w:p>
      <w:pPr>
        <w:spacing w:after="0" w:line="207" w:lineRule="exact"/>
        <w:rPr>
          <w:rFonts w:ascii="Arial" w:cs="Arial" w:eastAsia="Arial" w:hAnsi="Arial"/>
          <w:sz w:val="22"/>
          <w:szCs w:val="22"/>
          <w:color w:val="auto"/>
        </w:rPr>
      </w:pPr>
    </w:p>
    <w:p>
      <w:pPr>
        <w:jc w:val="both"/>
        <w:ind w:firstLine="8"/>
        <w:spacing w:after="0" w:line="279" w:lineRule="auto"/>
        <w:tabs>
          <w:tab w:leader="none" w:pos="509"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to make yourself reasonably available to Alaunos to answer questions about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and respond to requests by Alaunos for information concerning matters involving facts or events that arose during the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period of your employment with Alaunos and about which you have knowledge. In addition, you agree to assist and cooperate with Alaunos as reasonably requested with respect to any pending or future inquiries, challenges, charges or other proceedings by governmental authorities, or other actions, litigations, arbitrations or disputes or dispute resolutions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jc w:val="both"/>
        <w:ind w:firstLine="509"/>
        <w:spacing w:after="0" w:line="257" w:lineRule="auto"/>
        <w:rPr>
          <w:sz w:val="20"/>
          <w:szCs w:val="20"/>
          <w:color w:val="auto"/>
        </w:rPr>
      </w:pPr>
      <w:r>
        <w:rPr>
          <w:rFonts w:ascii="Arial" w:cs="Arial" w:eastAsia="Arial" w:hAnsi="Arial"/>
          <w:sz w:val="20"/>
          <w:szCs w:val="20"/>
          <w:color w:val="auto"/>
        </w:rPr>
        <w:t>(collectively, "</w:t>
      </w:r>
      <w:r>
        <w:rPr>
          <w:rFonts w:ascii="Arial" w:cs="Arial" w:eastAsia="Arial" w:hAnsi="Arial"/>
          <w:sz w:val="20"/>
          <w:szCs w:val="20"/>
          <w:u w:val="single" w:color="auto"/>
          <w:color w:val="auto"/>
        </w:rPr>
        <w:t>Actions</w:t>
      </w:r>
      <w:r>
        <w:rPr>
          <w:rFonts w:ascii="Arial" w:cs="Arial" w:eastAsia="Arial" w:hAnsi="Arial"/>
          <w:sz w:val="20"/>
          <w:szCs w:val="20"/>
          <w:color w:val="auto"/>
        </w:rPr>
        <w:t>") concerning matters involving facts or events that arose during the period of your employment with Alaunos and about which you have knowledge (including but not limited to testifying, and/or otherwise providing written or oral responses, depositions or other evidence). You agree that your obligations under this Section shall continue after your employment with Alaunos terminates for whatever reason. Your cooperation and assistance regarding any Actions shall be at no expense to you, and Alaunos agrees to reimburse you for any reasonable expenses you incur as a result of your obligations under this Section upon receipt of documentation for such expenses in a form reasonably acceptable to Alaunos. Nothing in this Agreement is intended to, or does, (a) change any other aspect of your employment relationship with Alaunos unless expressly set forth herein, (b) limit your ability to respond to inquiries from, or otherwise cooperate with, any EEOC or other governmental or regulatory investigation concerning facts or events that arose during the period of your employment with Alaunos; or (c) create any obligation on your part to inform Alaunos about the fact or substance of any communications you may have with any governmental authorities in connection with any pending or future Actions.</w:t>
      </w:r>
    </w:p>
    <w:p>
      <w:pPr>
        <w:spacing w:after="0" w:line="198" w:lineRule="exact"/>
        <w:rPr>
          <w:sz w:val="20"/>
          <w:szCs w:val="20"/>
          <w:color w:val="auto"/>
        </w:rPr>
      </w:pPr>
    </w:p>
    <w:p>
      <w:pPr>
        <w:jc w:val="both"/>
        <w:ind w:firstLine="8"/>
        <w:spacing w:after="0" w:line="270" w:lineRule="auto"/>
        <w:tabs>
          <w:tab w:leader="none" w:pos="509"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Time to Accept</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have five (5) business days from the date on which you received this Agreement to consider</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to sign it. You may, however, sign this Agreement sooner, if you choose to do so. Changes to this Agreement, whether material or immaterial, will not restart the five-day consideration period. To accept this Agreement, you must sign it and return the signed copy by close of business to Melinda Lackey, Senior Vice President, Legal &amp; Admin by Friday, August 18, 2023.</w:t>
      </w:r>
    </w:p>
    <w:p>
      <w:pPr>
        <w:spacing w:after="0" w:line="178" w:lineRule="exact"/>
        <w:rPr>
          <w:rFonts w:ascii="Arial" w:cs="Arial" w:eastAsia="Arial" w:hAnsi="Arial"/>
          <w:sz w:val="20"/>
          <w:szCs w:val="20"/>
          <w:color w:val="auto"/>
        </w:rPr>
      </w:pPr>
    </w:p>
    <w:p>
      <w:pPr>
        <w:jc w:val="both"/>
        <w:ind w:firstLine="8"/>
        <w:spacing w:after="0" w:line="279" w:lineRule="auto"/>
        <w:tabs>
          <w:tab w:leader="none" w:pos="509" w:val="left"/>
        </w:tabs>
        <w:numPr>
          <w:ilvl w:val="0"/>
          <w:numId w:val="51"/>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and acknowledge that you have received and read this Agreement, the provisions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understandable to you, and you understand the meaning of the terms of this Agreement and their effect. You agree and acknowledge that you have entered into this Agreement freely and voluntarily.</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Thank you in advance for your continued contribution to Alaunos throughout this period of transition. We appreciate your service, and we wish you all the best in your future endeavors.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/s/ Kevin S. Boyle, Sr.</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Kevin S. Boyle, Sr.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Agreed to: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By: /s/ Melinda Lackey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Date: August 15,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EXHIBIT A</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 OF CLAIMS</w:t>
      </w:r>
    </w:p>
    <w:p>
      <w:pPr>
        <w:spacing w:after="0" w:line="21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THIS GENERAL RELEASE OF CLAIMS (this “</w:t>
      </w:r>
      <w:r>
        <w:rPr>
          <w:rFonts w:ascii="Arial" w:cs="Arial" w:eastAsia="Arial" w:hAnsi="Arial"/>
          <w:sz w:val="19"/>
          <w:szCs w:val="19"/>
          <w:u w:val="single" w:color="auto"/>
          <w:color w:val="auto"/>
        </w:rPr>
        <w:t>Release</w:t>
      </w:r>
      <w:r>
        <w:rPr>
          <w:rFonts w:ascii="Arial" w:cs="Arial" w:eastAsia="Arial" w:hAnsi="Arial"/>
          <w:sz w:val="19"/>
          <w:szCs w:val="19"/>
          <w:color w:val="auto"/>
        </w:rPr>
        <w:t>”) is entered into by the employee set forth on the signature page to this Release (the “</w:t>
      </w:r>
      <w:r>
        <w:rPr>
          <w:rFonts w:ascii="Arial" w:cs="Arial" w:eastAsia="Arial" w:hAnsi="Arial"/>
          <w:sz w:val="19"/>
          <w:szCs w:val="19"/>
          <w:u w:val="single" w:color="auto"/>
          <w:color w:val="auto"/>
        </w:rPr>
        <w:t>Employee</w:t>
      </w:r>
      <w:r>
        <w:rPr>
          <w:rFonts w:ascii="Arial" w:cs="Arial" w:eastAsia="Arial" w:hAnsi="Arial"/>
          <w:sz w:val="19"/>
          <w:szCs w:val="19"/>
          <w:color w:val="auto"/>
        </w:rPr>
        <w:t>”) as part of the Confidential Retention Agreement by and between Employee and Alaunos Therapeutics, Inc. (“</w:t>
      </w:r>
      <w:r>
        <w:rPr>
          <w:rFonts w:ascii="Arial" w:cs="Arial" w:eastAsia="Arial" w:hAnsi="Arial"/>
          <w:sz w:val="19"/>
          <w:szCs w:val="19"/>
          <w:u w:val="single" w:color="auto"/>
          <w:color w:val="auto"/>
        </w:rPr>
        <w:t>Alaunos</w:t>
      </w:r>
      <w:r>
        <w:rPr>
          <w:rFonts w:ascii="Arial" w:cs="Arial" w:eastAsia="Arial" w:hAnsi="Arial"/>
          <w:sz w:val="19"/>
          <w:szCs w:val="19"/>
          <w:color w:val="auto"/>
        </w:rPr>
        <w:t>”) of which this Release is part of and incorporated therein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Capitalized terms used herein and not otherwise defined have the meanings given such defined term in the Retention Agreement.</w:t>
      </w:r>
    </w:p>
    <w:p>
      <w:pPr>
        <w:spacing w:after="0" w:line="14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good and valuable consideration, the receipt and sufficiency of which is hereby acknowledged, including, without limitation, the Retention Bonus, Employee and Alaunos hereby agree as follows:</w:t>
      </w:r>
    </w:p>
    <w:p>
      <w:pPr>
        <w:spacing w:after="0" w:line="168" w:lineRule="exact"/>
        <w:rPr>
          <w:sz w:val="20"/>
          <w:szCs w:val="20"/>
          <w:color w:val="auto"/>
        </w:rPr>
      </w:pPr>
    </w:p>
    <w:p>
      <w:pPr>
        <w:jc w:val="both"/>
        <w:ind w:firstLine="757"/>
        <w:spacing w:after="0" w:line="243" w:lineRule="auto"/>
        <w:tabs>
          <w:tab w:leader="none" w:pos="1018"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 xml:space="preserve">Retention Bonus. </w:t>
      </w:r>
      <w:r>
        <w:rPr>
          <w:rFonts w:ascii="Arial" w:cs="Arial" w:eastAsia="Arial" w:hAnsi="Arial"/>
          <w:sz w:val="22"/>
          <w:szCs w:val="22"/>
          <w:color w:val="auto"/>
        </w:rPr>
        <w:t>In consideration of Employee’s promises and releases contained in this Release, Alaunos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Employee with the opportunity to earn the Retention Bonus, less all deductions and withholdings required by law, as set forth in and in accordance with the Retention Agreement.</w:t>
      </w:r>
    </w:p>
    <w:p>
      <w:pPr>
        <w:spacing w:after="0" w:line="175" w:lineRule="exact"/>
        <w:rPr>
          <w:rFonts w:ascii="Arial" w:cs="Arial" w:eastAsia="Arial" w:hAnsi="Arial"/>
          <w:sz w:val="22"/>
          <w:szCs w:val="22"/>
          <w:color w:val="auto"/>
        </w:rPr>
      </w:pPr>
    </w:p>
    <w:p>
      <w:pPr>
        <w:jc w:val="both"/>
        <w:ind w:firstLine="757"/>
        <w:spacing w:after="0" w:line="255" w:lineRule="auto"/>
        <w:tabs>
          <w:tab w:leader="none" w:pos="1018"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In exchange for the good and valuable consideration described herein, including, without limitation,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opportunity to earn the Retention Bonus, Employee, on behalf of Employee and Employee’s heirs, executors, administrators, and assigns, hereby releases, waives, and forever discharges, and shall not bring or file any lawsuit regarding, any and all claims or liabilities against Alaunos, its past, present and future parents, subsidiaries, and affiliated entities, as well as any predecessor, successor, or assign of any of them or to their respective assets or business; any health or welfare benefits plans, agents, and attorneys of any of them; and any of their respective members, managers, owners, officers, directors, trustees, employees, representatives and agents (collectively, the “</w:t>
      </w:r>
      <w:r>
        <w:rPr>
          <w:rFonts w:ascii="Arial" w:cs="Arial" w:eastAsia="Arial" w:hAnsi="Arial"/>
          <w:sz w:val="20"/>
          <w:szCs w:val="20"/>
          <w:u w:val="single" w:color="auto"/>
          <w:color w:val="auto"/>
        </w:rPr>
        <w:t>Releasees</w:t>
      </w:r>
      <w:r>
        <w:rPr>
          <w:rFonts w:ascii="Arial" w:cs="Arial" w:eastAsia="Arial" w:hAnsi="Arial"/>
          <w:sz w:val="20"/>
          <w:szCs w:val="20"/>
          <w:color w:val="auto"/>
        </w:rPr>
        <w:t xml:space="preserve">”), of whatever kind or nature which Employee has ever had or which Employee now has, known or unknown, suspected or unsuspected, from the beginning of time through and including through the date of execution of this Release,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claims for unpaid compensation (including, but not limited to, claims for past or future wages, salary, commission or expense reimbursement), </w:t>
      </w:r>
      <w:r>
        <w:rPr>
          <w:rFonts w:ascii="Arial" w:cs="Arial" w:eastAsia="Arial" w:hAnsi="Arial"/>
          <w:sz w:val="20"/>
          <w:szCs w:val="20"/>
          <w:u w:val="single" w:color="auto"/>
          <w:color w:val="auto"/>
        </w:rPr>
        <w:t>but including, but not limited to,</w:t>
      </w:r>
      <w:r>
        <w:rPr>
          <w:rFonts w:ascii="Arial" w:cs="Arial" w:eastAsia="Arial" w:hAnsi="Arial"/>
          <w:sz w:val="20"/>
          <w:szCs w:val="20"/>
          <w:color w:val="auto"/>
        </w:rPr>
        <w:t xml:space="preserve"> any and all claims or counterclaims for breach of contract, breach of fiduciary duty, unfair competition, wrongful or unlawful discharge, constructive discharge, personal injury, tortious interference with contractual relations, promissory estoppel, detrimental reliance, breach of the implied covenant of good faith and fair dealing, breach of express or implied promise, breach of manuals or other policies, assault, battery, fraud, false imprisonment, invasion of privacy, intentional or negligent misrepresentation, defamation (including, but not limited to, libel, slander, discharge defamation and self-publication defamation), discharge in violation of public policy, whistleblower, intentional or negligent infliction of emotional distress, compensatory or punitive damages, claims for attorney’s fees, and all common-law claims arising under any other theory, whether legal or equitable; claims or counterclaims for violations of Title VII of the Civil Rights Act of 1964, as amended; the Americans with Disabilities Act, as amended; the Employee Retirement Income Security Act of 1974; the Family and Medical Leave Act; the Equal Pay Act; the Age Discrimination in Employment Act of 1967, as amended; the Older Workers Benefit Protection Act; the Occupational Safety and Health Act; the Genetic Information 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20"/>
          <w:szCs w:val="20"/>
          <w:color w:val="auto"/>
        </w:rPr>
        <w:t>Nondiscrimination Act; the Immigration Reform Control Act; the Uniformed Services Employment and Reemployment Rights Act; the Worker Adjustment and Retraining Notification Act of 1988; Texas Commission on Human Rights Act, Tex. Lab. Code Ann. §§ 21.001-21.556; Tex. Lab. Code Ann. §§ 61.001-61.095 (payment of wages); violations of any state and/or municipality whistle blowing statutes or laws or fair employment statutes or laws, or violations of any other law, rule, regulation, or ordinance pertaining to employment, past wages, hours, stock ownership, or any other terms and conditions of employment and termination of employment; and any other claims, counterclaims and/or third party claims, which have been, or could have been, asserted by Employee in any court, arbitration, or other forum arising out of or in any way related to the relationships between Employee and Releasees, including, without limitation, arising in any way out of Employee’s employment with Alaunos to the fullest extent permitted by law.</w:t>
      </w:r>
    </w:p>
    <w:p>
      <w:pPr>
        <w:spacing w:after="0" w:line="16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 xml:space="preserve">Notwithstanding anything herein to the contrary, the provisions of this Release </w:t>
      </w:r>
      <w:r>
        <w:rPr>
          <w:rFonts w:ascii="Arial" w:cs="Arial" w:eastAsia="Arial" w:hAnsi="Arial"/>
          <w:sz w:val="20"/>
          <w:szCs w:val="20"/>
          <w:u w:val="single" w:color="auto"/>
          <w:color w:val="auto"/>
        </w:rPr>
        <w:t>do not apply to</w:t>
      </w:r>
      <w:r>
        <w:rPr>
          <w:rFonts w:ascii="Arial" w:cs="Arial" w:eastAsia="Arial" w:hAnsi="Arial"/>
          <w:sz w:val="20"/>
          <w:szCs w:val="20"/>
          <w:color w:val="auto"/>
        </w:rPr>
        <w:t xml:space="preserve"> claims that may arise after the date this Release is executed; claims that cannot be released as a matter of law; Employee’s right to file a charge or compliant, or to participate in any investigation, with any local, state, or federal commission or agency such as the Equal Employment Opportunity Commission (“</w:t>
      </w:r>
      <w:r>
        <w:rPr>
          <w:rFonts w:ascii="Arial" w:cs="Arial" w:eastAsia="Arial" w:hAnsi="Arial"/>
          <w:sz w:val="20"/>
          <w:szCs w:val="20"/>
          <w:u w:val="single" w:color="auto"/>
          <w:color w:val="auto"/>
        </w:rPr>
        <w:t>EEOC</w:t>
      </w:r>
      <w:r>
        <w:rPr>
          <w:rFonts w:ascii="Arial" w:cs="Arial" w:eastAsia="Arial" w:hAnsi="Arial"/>
          <w:sz w:val="20"/>
          <w:szCs w:val="20"/>
          <w:color w:val="auto"/>
        </w:rPr>
        <w:t xml:space="preserve">”); or Employee’s right to challenge the validity of this Release after executing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however, that Employee agrees that as a result of Employee’s release in this Release, Employee is not and will not be entitled to any monetary or other comparable relief from the Releasees related to any charge or complaint or investigation or proceeding brought by Employee, the EEOC, or any other person or entity, including but not limited to any federal, state, or local government agency. Nothing in this Release, however, prohibits Employee from receiving any monetary or other award offered by any government agency. Furthermore, this Release does not affect Employee’s right to file for unemployment benefits according to applicable state law.</w:t>
      </w:r>
    </w:p>
    <w:p>
      <w:pPr>
        <w:spacing w:after="0" w:line="165" w:lineRule="exact"/>
        <w:rPr>
          <w:sz w:val="20"/>
          <w:szCs w:val="20"/>
          <w:color w:val="auto"/>
        </w:rPr>
      </w:pPr>
    </w:p>
    <w:p>
      <w:pPr>
        <w:jc w:val="both"/>
        <w:ind w:firstLine="757"/>
        <w:spacing w:after="0" w:line="239" w:lineRule="auto"/>
        <w:tabs>
          <w:tab w:leader="none" w:pos="1018" w:val="left"/>
        </w:tabs>
        <w:numPr>
          <w:ilvl w:val="0"/>
          <w:numId w:val="53"/>
        </w:numPr>
        <w:rPr>
          <w:rFonts w:ascii="Arial" w:cs="Arial" w:eastAsia="Arial" w:hAnsi="Arial"/>
          <w:sz w:val="22"/>
          <w:szCs w:val="22"/>
          <w:color w:val="auto"/>
        </w:rPr>
      </w:pPr>
      <w:r>
        <w:rPr>
          <w:rFonts w:ascii="Arial" w:cs="Arial" w:eastAsia="Arial" w:hAnsi="Arial"/>
          <w:sz w:val="22"/>
          <w:szCs w:val="22"/>
          <w:b w:val="1"/>
          <w:bCs w:val="1"/>
          <w:color w:val="auto"/>
        </w:rPr>
        <w:t>Time to Consider and Accept Release/Consultation with Attorney</w:t>
      </w:r>
      <w:r>
        <w:rPr>
          <w:rFonts w:ascii="Arial" w:cs="Arial" w:eastAsia="Arial" w:hAnsi="Arial"/>
          <w:sz w:val="22"/>
          <w:szCs w:val="22"/>
          <w:color w:val="auto"/>
        </w:rPr>
        <w:t>. Employee will have five (5) business days</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date on which Employee received this Release, to consider whether to sign it. Changes to this Release, whether material or immaterial, will not restart the 5-day consideration period. During this time, Alaunos advises Employee to consult with an attorney of Employee’s choice.</w:t>
      </w:r>
    </w:p>
    <w:p>
      <w:pPr>
        <w:spacing w:after="0" w:line="18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In order to retain and earn the Retention Bonus, Employee must sign this Release and return the signed original to Alaunos as provided in this Release and the Retention Agreement.</w:t>
      </w:r>
    </w:p>
    <w:p>
      <w:pPr>
        <w:spacing w:after="0" w:line="168" w:lineRule="exact"/>
        <w:rPr>
          <w:sz w:val="20"/>
          <w:szCs w:val="20"/>
          <w:color w:val="auto"/>
        </w:rPr>
      </w:pPr>
    </w:p>
    <w:p>
      <w:pPr>
        <w:jc w:val="both"/>
        <w:ind w:firstLine="757"/>
        <w:spacing w:after="0" w:line="237" w:lineRule="auto"/>
        <w:tabs>
          <w:tab w:leader="none" w:pos="1018"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 xml:space="preserve">Acknowledgments and Affirmations. </w:t>
      </w:r>
      <w:r>
        <w:rPr>
          <w:rFonts w:ascii="Arial" w:cs="Arial" w:eastAsia="Arial" w:hAnsi="Arial"/>
          <w:sz w:val="22"/>
          <w:szCs w:val="22"/>
          <w:color w:val="auto"/>
        </w:rPr>
        <w:t>Employee affirms that Employee has not filed, caused to be filed, intends to</w:t>
      </w:r>
      <w:r>
        <w:rPr>
          <w:rFonts w:ascii="Arial" w:cs="Arial" w:eastAsia="Arial" w:hAnsi="Arial"/>
          <w:sz w:val="22"/>
          <w:szCs w:val="22"/>
          <w:b w:val="1"/>
          <w:bCs w:val="1"/>
          <w:color w:val="auto"/>
        </w:rPr>
        <w:t xml:space="preserve"> </w:t>
      </w:r>
      <w:r>
        <w:rPr>
          <w:rFonts w:ascii="Arial" w:cs="Arial" w:eastAsia="Arial" w:hAnsi="Arial"/>
          <w:sz w:val="22"/>
          <w:szCs w:val="22"/>
          <w:color w:val="auto"/>
        </w:rPr>
        <w:t>file and is not presently a party to any claim against Alaunos or any of the Releasees. Employee further represents and warrants that Employee is not aware of any facts or circumstances that might justify a claim against the Releasees for any violation of the Family and Medical Leave Act (“</w:t>
      </w:r>
      <w:r>
        <w:rPr>
          <w:rFonts w:ascii="Arial" w:cs="Arial" w:eastAsia="Arial" w:hAnsi="Arial"/>
          <w:sz w:val="22"/>
          <w:szCs w:val="22"/>
          <w:u w:val="single" w:color="auto"/>
          <w:color w:val="auto"/>
        </w:rPr>
        <w:t>FMLA</w:t>
      </w:r>
      <w:r>
        <w:rPr>
          <w:rFonts w:ascii="Arial" w:cs="Arial" w:eastAsia="Arial" w:hAnsi="Arial"/>
          <w:sz w:val="22"/>
          <w:szCs w:val="22"/>
          <w:color w:val="auto"/>
        </w:rPr>
        <w:t>”) or the Fair Labor Standards Act (“</w:t>
      </w:r>
      <w:r>
        <w:rPr>
          <w:rFonts w:ascii="Arial" w:cs="Arial" w:eastAsia="Arial" w:hAnsi="Arial"/>
          <w:sz w:val="22"/>
          <w:szCs w:val="22"/>
          <w:u w:val="single" w:color="auto"/>
          <w:color w:val="auto"/>
        </w:rPr>
        <w:t>FLSA</w:t>
      </w:r>
      <w:r>
        <w:rPr>
          <w:rFonts w:ascii="Arial" w:cs="Arial" w:eastAsia="Arial" w:hAnsi="Arial"/>
          <w:sz w:val="22"/>
          <w:szCs w:val="22"/>
          <w:color w:val="auto"/>
        </w:rPr>
        <w:t>”) or comparable state statutes as of the date this Release is signed.</w:t>
      </w:r>
    </w:p>
    <w:p>
      <w:pPr>
        <w:spacing w:after="0" w:line="180" w:lineRule="exact"/>
        <w:rPr>
          <w:rFonts w:ascii="Arial" w:cs="Arial" w:eastAsia="Arial" w:hAnsi="Arial"/>
          <w:sz w:val="22"/>
          <w:szCs w:val="22"/>
          <w:color w:val="auto"/>
        </w:rPr>
      </w:pPr>
    </w:p>
    <w:p>
      <w:pPr>
        <w:jc w:val="both"/>
        <w:ind w:firstLine="757"/>
        <w:spacing w:after="0" w:line="266" w:lineRule="auto"/>
        <w:tabs>
          <w:tab w:leader="none" w:pos="1018"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 xml:space="preserve">Confidentiality. </w:t>
      </w:r>
      <w:r>
        <w:rPr>
          <w:rFonts w:ascii="Arial" w:cs="Arial" w:eastAsia="Arial" w:hAnsi="Arial"/>
          <w:sz w:val="20"/>
          <w:szCs w:val="20"/>
          <w:color w:val="auto"/>
        </w:rPr>
        <w:t>Employee agrees to keep the facts and terms of this Release in strict confidence to the fullest extent</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law. Employee agrees that, except as required by law, Employee will not disclose this document, its contents, or subject matter to any person other than Employee’s spouse (if applicable), attorney, accountant, income tax preparer, or other similar professionals. Furthermore, to the extent that Employee is permitted to disclose, and does disclose, such information, Employee agrees to require that the person receiving such information will</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maintain its confidentiality and/or to take any other available measures to protect the confidentiality of this Release.</w:t>
      </w:r>
    </w:p>
    <w:p>
      <w:pPr>
        <w:spacing w:after="0" w:line="199" w:lineRule="exact"/>
        <w:rPr>
          <w:sz w:val="20"/>
          <w:szCs w:val="20"/>
          <w:color w:val="auto"/>
        </w:rPr>
      </w:pPr>
    </w:p>
    <w:p>
      <w:pPr>
        <w:jc w:val="both"/>
        <w:ind w:firstLine="757"/>
        <w:spacing w:after="0" w:line="243" w:lineRule="auto"/>
        <w:tabs>
          <w:tab w:leader="none" w:pos="1018"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No Admission. </w:t>
      </w:r>
      <w:r>
        <w:rPr>
          <w:rFonts w:ascii="Arial" w:cs="Arial" w:eastAsia="Arial" w:hAnsi="Arial"/>
          <w:sz w:val="22"/>
          <w:szCs w:val="22"/>
          <w:color w:val="auto"/>
        </w:rPr>
        <w:t>Employee understands and agrees that Releasees admit no liability with respect to any claim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to, or arising out of, Employee’s relationship with Company or the termination thereof or otherwise relating to the claims released by Employee under this Release.</w:t>
      </w:r>
    </w:p>
    <w:p>
      <w:pPr>
        <w:spacing w:after="0" w:line="175" w:lineRule="exact"/>
        <w:rPr>
          <w:rFonts w:ascii="Arial" w:cs="Arial" w:eastAsia="Arial" w:hAnsi="Arial"/>
          <w:sz w:val="22"/>
          <w:szCs w:val="22"/>
          <w:color w:val="auto"/>
        </w:rPr>
      </w:pPr>
    </w:p>
    <w:p>
      <w:pPr>
        <w:jc w:val="both"/>
        <w:ind w:firstLine="757"/>
        <w:spacing w:after="0" w:line="237" w:lineRule="auto"/>
        <w:tabs>
          <w:tab w:leader="none" w:pos="1018"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 xml:space="preserve">Entire Release/Severability. </w:t>
      </w:r>
      <w:r>
        <w:rPr>
          <w:rFonts w:ascii="Arial" w:cs="Arial" w:eastAsia="Arial" w:hAnsi="Arial"/>
          <w:sz w:val="22"/>
          <w:szCs w:val="22"/>
          <w:color w:val="auto"/>
        </w:rPr>
        <w:t>This Release, as well as the other provisions of the Retention Agreement, contains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entire agreement between the parties with respect to the subject matter hereof, and no releases, representations, or statements of any party not contained herein shall be binding on such party. The provisions of this Release are deemed severable and the invalidity or unenforceability of any provision or part of this Release in any respect shall not affect the validity or enforceability of this Release in any other respect.</w:t>
      </w:r>
    </w:p>
    <w:p>
      <w:pPr>
        <w:spacing w:after="0" w:line="180" w:lineRule="exact"/>
        <w:rPr>
          <w:rFonts w:ascii="Arial" w:cs="Arial" w:eastAsia="Arial" w:hAnsi="Arial"/>
          <w:sz w:val="22"/>
          <w:szCs w:val="22"/>
          <w:color w:val="auto"/>
        </w:rPr>
      </w:pPr>
    </w:p>
    <w:p>
      <w:pPr>
        <w:jc w:val="both"/>
        <w:ind w:firstLine="757"/>
        <w:spacing w:after="0" w:line="300" w:lineRule="auto"/>
        <w:tabs>
          <w:tab w:leader="none" w:pos="1018"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 xml:space="preserve">Controlling Law. </w:t>
      </w:r>
      <w:r>
        <w:rPr>
          <w:rFonts w:ascii="Arial" w:cs="Arial" w:eastAsia="Arial" w:hAnsi="Arial"/>
          <w:sz w:val="19"/>
          <w:szCs w:val="19"/>
          <w:color w:val="auto"/>
        </w:rPr>
        <w:t>This Release shall be governed by and construed in accordance with the laws of the State of Texas,</w:t>
      </w:r>
      <w:r>
        <w:rPr>
          <w:rFonts w:ascii="Arial" w:cs="Arial" w:eastAsia="Arial" w:hAnsi="Arial"/>
          <w:sz w:val="19"/>
          <w:szCs w:val="19"/>
          <w:b w:val="1"/>
          <w:bCs w:val="1"/>
          <w:color w:val="auto"/>
        </w:rPr>
        <w:t xml:space="preserve"> </w:t>
      </w:r>
      <w:r>
        <w:rPr>
          <w:rFonts w:ascii="Arial" w:cs="Arial" w:eastAsia="Arial" w:hAnsi="Arial"/>
          <w:sz w:val="19"/>
          <w:szCs w:val="19"/>
          <w:color w:val="auto"/>
        </w:rPr>
        <w:t>as they are applied to contracts made and to be wholly performed in that state, regardless of choice of law principles to the contrary. In addition, employee consents to the exclusive jurisdiction of any Texas court in any dispute arising from this Release.</w:t>
      </w:r>
    </w:p>
    <w:p>
      <w:pPr>
        <w:spacing w:after="0" w:line="124" w:lineRule="exact"/>
        <w:rPr>
          <w:rFonts w:ascii="Arial" w:cs="Arial" w:eastAsia="Arial" w:hAnsi="Arial"/>
          <w:sz w:val="19"/>
          <w:szCs w:val="19"/>
          <w:color w:val="auto"/>
        </w:rPr>
      </w:pPr>
    </w:p>
    <w:p>
      <w:pPr>
        <w:jc w:val="both"/>
        <w:ind w:firstLine="757"/>
        <w:spacing w:after="0" w:line="263" w:lineRule="auto"/>
        <w:tabs>
          <w:tab w:leader="none" w:pos="1018"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Execution of Release. </w:t>
      </w:r>
      <w:r>
        <w:rPr>
          <w:rFonts w:ascii="Arial" w:cs="Arial" w:eastAsia="Arial" w:hAnsi="Arial"/>
          <w:sz w:val="20"/>
          <w:szCs w:val="20"/>
          <w:color w:val="auto"/>
        </w:rPr>
        <w:t>Employee understands that Employee has five days following the receipt of the Release to</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 this Release and return an executed copy of the Release to Alaunos. In the event the Employee fails to sign and return the Release to Alaunos by the date described above, the Retention Bonus shall not be earned and will no longer be available for acceptance and this Release shall have no further force or effect. Employee confirms, by the signature below, that Employee has had a reasonable period of time in which to consider whether to execute this Release, and that no one hurried or coerced the Employee to execute this Release during such time.</w:t>
      </w:r>
    </w:p>
    <w:p>
      <w:pPr>
        <w:spacing w:after="0" w:line="160" w:lineRule="exact"/>
        <w:rPr>
          <w:sz w:val="20"/>
          <w:szCs w:val="20"/>
          <w:color w:val="auto"/>
        </w:rPr>
      </w:pPr>
    </w:p>
    <w:p>
      <w:pPr>
        <w:jc w:val="both"/>
        <w:ind w:left="760" w:right="740"/>
        <w:spacing w:after="0" w:line="237" w:lineRule="auto"/>
        <w:rPr>
          <w:sz w:val="20"/>
          <w:szCs w:val="20"/>
          <w:color w:val="auto"/>
        </w:rPr>
      </w:pPr>
      <w:r>
        <w:rPr>
          <w:rFonts w:ascii="Arial" w:cs="Arial" w:eastAsia="Arial" w:hAnsi="Arial"/>
          <w:sz w:val="22"/>
          <w:szCs w:val="22"/>
          <w:b w:val="1"/>
          <w:bCs w:val="1"/>
          <w:color w:val="auto"/>
        </w:rPr>
        <w:t>BY THE SIGNATURE BELOW, EMPLOYEE HEREBY CONFIRMS THAT EMPLOYEE FREELY AND KNOWINGLY, AND AFTER DUE CONSIDERATION, ENTERS INTO THIS SEPARATION RELEASE AND RELEASE WITH THE UNDERSTANDING THAT BY DOING SO, EMPLOYEE WAIVES, SETTLES AND RELEASES ALL CLAIMS EMPLOYEE HAS OR MIGHT HAVE AGAINST RELEASEES TO THE FULLEST EXTENT PERMITTED BY LAW.</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ind w:left="760"/>
        <w:spacing w:after="0"/>
        <w:rPr>
          <w:sz w:val="20"/>
          <w:szCs w:val="20"/>
          <w:color w:val="auto"/>
        </w:rPr>
      </w:pPr>
      <w:r>
        <w:rPr>
          <w:rFonts w:ascii="Arial" w:cs="Arial" w:eastAsia="Arial" w:hAnsi="Arial"/>
          <w:sz w:val="19"/>
          <w:szCs w:val="19"/>
          <w:color w:val="auto"/>
        </w:rPr>
        <w:t>Employee knowingly and voluntarily signed this Release as of the date set forth below:</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By: /s/ Melinda Lackey</w:t>
      </w:r>
    </w:p>
    <w:p>
      <w:pPr>
        <w:spacing w:after="0" w:line="237" w:lineRule="auto"/>
        <w:rPr>
          <w:sz w:val="20"/>
          <w:szCs w:val="20"/>
          <w:color w:val="auto"/>
        </w:rPr>
      </w:pPr>
      <w:r>
        <w:rPr>
          <w:rFonts w:ascii="Arial" w:cs="Arial" w:eastAsia="Arial" w:hAnsi="Arial"/>
          <w:sz w:val="22"/>
          <w:szCs w:val="22"/>
          <w:color w:val="auto"/>
        </w:rPr>
        <w:t>Printed Name: Melinda Lackey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August 15, 2023</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69" w:name="page70"/>
    <w:bookmarkEnd w:id="69"/>
    <w:p>
      <w:pPr>
        <w:ind w:left="57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5396865</wp:posOffset>
            </wp:positionH>
            <wp:positionV relativeFrom="page">
              <wp:posOffset>88900</wp:posOffset>
            </wp:positionV>
            <wp:extent cx="1917700" cy="5054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917700" cy="505460"/>
                    </a:xfrm>
                    <a:prstGeom prst="rect">
                      <a:avLst/>
                    </a:prstGeom>
                    <a:noFill/>
                  </pic:spPr>
                </pic:pic>
              </a:graphicData>
            </a:graphic>
          </wp:anchor>
        </w:drawing>
        <w:t>Exhibit 10.2</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September 1, 2023</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Drew Deniger</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Re: Confidential Retention Agreement</w:t>
      </w: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Dear Drew,</w:t>
      </w:r>
    </w:p>
    <w:p>
      <w:pPr>
        <w:spacing w:after="0" w:line="205" w:lineRule="exact"/>
        <w:rPr>
          <w:sz w:val="20"/>
          <w:szCs w:val="20"/>
          <w:color w:val="auto"/>
        </w:rPr>
      </w:pPr>
    </w:p>
    <w:p>
      <w:pPr>
        <w:jc w:val="both"/>
        <w:ind w:right="80"/>
        <w:spacing w:after="0" w:line="276" w:lineRule="auto"/>
        <w:rPr>
          <w:sz w:val="20"/>
          <w:szCs w:val="20"/>
          <w:color w:val="auto"/>
        </w:rPr>
      </w:pPr>
      <w:r>
        <w:rPr>
          <w:rFonts w:ascii="Arial" w:cs="Arial" w:eastAsia="Arial" w:hAnsi="Arial"/>
          <w:sz w:val="20"/>
          <w:szCs w:val="20"/>
          <w:color w:val="auto"/>
        </w:rPr>
        <w:t>We greatly value the work you do for Alaunos, and we need you to continue making your valuable contributions. As an incentive for you to stay with Alaunos during this period of transition, Alaunos is pleased to offer you a retention bonus (the “</w:t>
      </w:r>
      <w:r>
        <w:rPr>
          <w:rFonts w:ascii="Arial" w:cs="Arial" w:eastAsia="Arial" w:hAnsi="Arial"/>
          <w:sz w:val="20"/>
          <w:szCs w:val="20"/>
          <w:u w:val="single" w:color="auto"/>
          <w:color w:val="auto"/>
        </w:rPr>
        <w:t>Retention Bonus</w:t>
      </w:r>
      <w:r>
        <w:rPr>
          <w:rFonts w:ascii="Arial" w:cs="Arial" w:eastAsia="Arial" w:hAnsi="Arial"/>
          <w:sz w:val="20"/>
          <w:szCs w:val="20"/>
          <w:color w:val="auto"/>
        </w:rPr>
        <w:t>”) pursuant to and in accordance with this Confidential Retention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58"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20"/>
          <w:szCs w:val="20"/>
          <w:color w:val="auto"/>
        </w:rPr>
      </w:pPr>
      <w:r>
        <w:rPr>
          <w:rFonts w:ascii="Arial" w:cs="Arial" w:eastAsia="Arial" w:hAnsi="Arial"/>
          <w:sz w:val="20"/>
          <w:szCs w:val="20"/>
          <w:b w:val="1"/>
          <w:bCs w:val="1"/>
          <w:u w:val="single" w:color="auto"/>
          <w:color w:val="auto"/>
        </w:rPr>
        <w:t>Eligibility for Retention Bonus</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and to earn and retain the full amount of the Retention Bonus, you</w:t>
      </w:r>
    </w:p>
    <w:p>
      <w:pPr>
        <w:spacing w:after="0" w:line="3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must:</w:t>
      </w:r>
    </w:p>
    <w:p>
      <w:pPr>
        <w:spacing w:after="0" w:line="214" w:lineRule="exact"/>
        <w:rPr>
          <w:rFonts w:ascii="Arial" w:cs="Arial" w:eastAsia="Arial" w:hAnsi="Arial"/>
          <w:sz w:val="20"/>
          <w:szCs w:val="20"/>
          <w:color w:val="auto"/>
        </w:rPr>
      </w:pPr>
    </w:p>
    <w:p>
      <w:pPr>
        <w:jc w:val="both"/>
        <w:ind w:left="1140" w:hanging="563"/>
        <w:spacing w:after="0" w:line="236" w:lineRule="auto"/>
        <w:tabs>
          <w:tab w:leader="none" w:pos="1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Remain fully employed by Alaunos until the earlier of (such employment period, the “</w:t>
      </w:r>
      <w:r>
        <w:rPr>
          <w:rFonts w:ascii="Arial" w:cs="Arial" w:eastAsia="Arial" w:hAnsi="Arial"/>
          <w:sz w:val="22"/>
          <w:szCs w:val="22"/>
          <w:u w:val="single" w:color="auto"/>
          <w:color w:val="auto"/>
        </w:rPr>
        <w:t>Transition Period</w:t>
      </w:r>
      <w:r>
        <w:rPr>
          <w:rFonts w:ascii="Arial" w:cs="Arial" w:eastAsia="Arial" w:hAnsi="Arial"/>
          <w:sz w:val="22"/>
          <w:szCs w:val="22"/>
          <w:color w:val="auto"/>
        </w:rPr>
        <w:t>”) (i) the completion of the Transaction (defined as the close of a strategic transaction or a bankruptcy filing by the Company in the event of no strategic transaction) or (ii) the date that Alaunos terminates your employment for any reason, or no reason, other than if your employment is terminated because you failed to perform your duties at an Acceptable Level (as defined below);</w:t>
      </w:r>
    </w:p>
    <w:p>
      <w:pPr>
        <w:spacing w:after="0" w:line="212" w:lineRule="exact"/>
        <w:rPr>
          <w:rFonts w:ascii="Arial" w:cs="Arial" w:eastAsia="Arial" w:hAnsi="Arial"/>
          <w:sz w:val="22"/>
          <w:szCs w:val="22"/>
          <w:color w:val="auto"/>
        </w:rPr>
      </w:pPr>
    </w:p>
    <w:p>
      <w:pPr>
        <w:ind w:left="1140" w:hanging="563"/>
        <w:spacing w:after="0"/>
        <w:tabs>
          <w:tab w:leader="none" w:pos="1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Continue to perform your duties at an Acceptable Level through the Transition Period; and</w:t>
      </w:r>
    </w:p>
    <w:p>
      <w:pPr>
        <w:spacing w:after="0" w:line="232" w:lineRule="exact"/>
        <w:rPr>
          <w:rFonts w:ascii="Arial" w:cs="Arial" w:eastAsia="Arial" w:hAnsi="Arial"/>
          <w:sz w:val="22"/>
          <w:szCs w:val="22"/>
          <w:color w:val="auto"/>
        </w:rPr>
      </w:pPr>
    </w:p>
    <w:p>
      <w:pPr>
        <w:ind w:left="1140" w:hanging="563"/>
        <w:spacing w:after="0" w:line="250" w:lineRule="auto"/>
        <w:tabs>
          <w:tab w:leader="none" w:pos="11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Sign, and do not revoke, the separation and release agreement (the “</w:t>
      </w: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provided in the Release of Claims.</w:t>
      </w:r>
    </w:p>
    <w:p>
      <w:pPr>
        <w:spacing w:after="0" w:line="201" w:lineRule="exact"/>
        <w:rPr>
          <w:sz w:val="20"/>
          <w:szCs w:val="20"/>
          <w:color w:val="auto"/>
        </w:rPr>
      </w:pPr>
    </w:p>
    <w:p>
      <w:pPr>
        <w:jc w:val="both"/>
        <w:ind w:left="760"/>
        <w:spacing w:after="0" w:line="271" w:lineRule="auto"/>
        <w:rPr>
          <w:sz w:val="20"/>
          <w:szCs w:val="20"/>
          <w:color w:val="auto"/>
        </w:rPr>
      </w:pPr>
      <w:r>
        <w:rPr>
          <w:rFonts w:ascii="Arial" w:cs="Arial" w:eastAsia="Arial" w:hAnsi="Arial"/>
          <w:sz w:val="19"/>
          <w:szCs w:val="19"/>
          <w:color w:val="auto"/>
        </w:rPr>
        <w:t>As used in this Agreement, “</w:t>
      </w:r>
      <w:r>
        <w:rPr>
          <w:rFonts w:ascii="Arial" w:cs="Arial" w:eastAsia="Arial" w:hAnsi="Arial"/>
          <w:sz w:val="19"/>
          <w:szCs w:val="19"/>
          <w:u w:val="single" w:color="auto"/>
          <w:color w:val="auto"/>
        </w:rPr>
        <w:t>Acceptable Level</w:t>
      </w:r>
      <w:r>
        <w:rPr>
          <w:rFonts w:ascii="Arial" w:cs="Arial" w:eastAsia="Arial" w:hAnsi="Arial"/>
          <w:sz w:val="19"/>
          <w:szCs w:val="19"/>
          <w:color w:val="auto"/>
        </w:rPr>
        <w:t>” means your full compliance with each of the following: (i) devoting substantially all of your professional and business-related time, skills and efforts to Alaunos; (ii) maintaining at least a satisfactory accomplishment of your assigned business objectives in accordance with Alaunos’ policies and procedures and in accordance with general industry standards; (iii) complying with the terms and conditions of this Agreement; and</w:t>
      </w:r>
    </w:p>
    <w:p>
      <w:pPr>
        <w:spacing w:after="0" w:line="2" w:lineRule="exact"/>
        <w:rPr>
          <w:sz w:val="20"/>
          <w:szCs w:val="20"/>
          <w:color w:val="auto"/>
        </w:rPr>
      </w:pPr>
    </w:p>
    <w:p>
      <w:pPr>
        <w:ind w:left="760" w:hanging="3"/>
        <w:spacing w:after="0" w:line="236" w:lineRule="auto"/>
        <w:tabs>
          <w:tab w:leader="none" w:pos="1126" w:val="left"/>
        </w:tabs>
        <w:numPr>
          <w:ilvl w:val="1"/>
          <w:numId w:val="57"/>
        </w:numPr>
        <w:rPr>
          <w:rFonts w:ascii="Arial" w:cs="Arial" w:eastAsia="Arial" w:hAnsi="Arial"/>
          <w:sz w:val="22"/>
          <w:szCs w:val="22"/>
          <w:color w:val="auto"/>
        </w:rPr>
      </w:pPr>
      <w:r>
        <w:rPr>
          <w:rFonts w:ascii="Arial" w:cs="Arial" w:eastAsia="Arial" w:hAnsi="Arial"/>
          <w:sz w:val="22"/>
          <w:szCs w:val="22"/>
          <w:color w:val="auto"/>
        </w:rPr>
        <w:t>complying in all material respects with the employee policies and procedures of the Company, including with respect to business ethics and compliance with applicable laws.</w:t>
      </w:r>
    </w:p>
    <w:p>
      <w:pPr>
        <w:spacing w:after="0" w:line="206" w:lineRule="exact"/>
        <w:rPr>
          <w:rFonts w:ascii="Arial" w:cs="Arial" w:eastAsia="Arial" w:hAnsi="Arial"/>
          <w:sz w:val="22"/>
          <w:szCs w:val="22"/>
          <w:color w:val="auto"/>
        </w:rPr>
      </w:pPr>
    </w:p>
    <w:p>
      <w:pPr>
        <w:ind w:left="520" w:hanging="512"/>
        <w:spacing w:after="0"/>
        <w:tabs>
          <w:tab w:leader="none" w:pos="52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Retention Bonus</w:t>
      </w:r>
      <w:r>
        <w:rPr>
          <w:rFonts w:ascii="Arial" w:cs="Arial" w:eastAsia="Arial" w:hAnsi="Arial"/>
          <w:sz w:val="22"/>
          <w:szCs w:val="22"/>
          <w:color w:val="auto"/>
        </w:rPr>
        <w:t>. A retention bonus in the amount of 0.5x your monthly base salary</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4818-6467-4476\1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70" w:name="page71"/>
    <w:bookmarkEnd w:id="70"/>
    <w:p>
      <w:pPr>
        <w:ind w:firstLine="509"/>
        <w:spacing w:after="0" w:line="299" w:lineRule="auto"/>
        <w:rPr>
          <w:sz w:val="20"/>
          <w:szCs w:val="20"/>
          <w:color w:val="auto"/>
        </w:rPr>
      </w:pPr>
      <w:r>
        <w:rPr>
          <w:rFonts w:ascii="Arial" w:cs="Arial" w:eastAsia="Arial" w:hAnsi="Arial"/>
          <w:sz w:val="20"/>
          <w:szCs w:val="20"/>
          <w:color w:val="auto"/>
        </w:rPr>
        <w:t>for each month employed beginning August 15, 2023 prorated, if appropriate, less applicable deductions and withholdings (the “</w:t>
      </w:r>
      <w:r>
        <w:rPr>
          <w:rFonts w:ascii="Arial" w:cs="Arial" w:eastAsia="Arial" w:hAnsi="Arial"/>
          <w:sz w:val="20"/>
          <w:szCs w:val="20"/>
          <w:u w:val="single" w:color="auto"/>
          <w:color w:val="auto"/>
        </w:rPr>
        <w:t>Retention Bonus</w:t>
      </w:r>
      <w:r>
        <w:rPr>
          <w:rFonts w:ascii="Arial" w:cs="Arial" w:eastAsia="Arial" w:hAnsi="Arial"/>
          <w:sz w:val="20"/>
          <w:szCs w:val="20"/>
          <w:color w:val="auto"/>
        </w:rPr>
        <w:t>”), will be paid to you in a lump sum payment on the last date of the Transition Period.</w:t>
      </w:r>
    </w:p>
    <w:p>
      <w:pPr>
        <w:spacing w:after="0" w:line="149"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b w:val="1"/>
          <w:bCs w:val="1"/>
          <w:color w:val="auto"/>
        </w:rPr>
        <w:t>.</w:t>
      </w:r>
    </w:p>
    <w:p>
      <w:pPr>
        <w:spacing w:after="0" w:line="238" w:lineRule="exact"/>
        <w:rPr>
          <w:rFonts w:ascii="Arial" w:cs="Arial" w:eastAsia="Arial" w:hAnsi="Arial"/>
          <w:sz w:val="22"/>
          <w:szCs w:val="22"/>
          <w:color w:val="auto"/>
        </w:rPr>
      </w:pPr>
    </w:p>
    <w:p>
      <w:pPr>
        <w:jc w:val="both"/>
        <w:ind w:firstLine="517"/>
        <w:spacing w:after="0" w:line="276" w:lineRule="auto"/>
        <w:tabs>
          <w:tab w:leader="none" w:pos="867"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If, prior to the end of the Transition Period, you are involuntarily terminated by Alaunos for any reason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your failure to perform your duties at an Acceptable Level, you will be deemed to have earned and you will be entitled to retain the full amount of the Retention Bonus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you timely sign, and do not revoke, the Release of Claims.</w:t>
      </w:r>
    </w:p>
    <w:p>
      <w:pPr>
        <w:spacing w:after="0" w:line="150" w:lineRule="exact"/>
        <w:rPr>
          <w:rFonts w:ascii="Arial" w:cs="Arial" w:eastAsia="Arial" w:hAnsi="Arial"/>
          <w:sz w:val="20"/>
          <w:szCs w:val="20"/>
          <w:color w:val="auto"/>
        </w:rPr>
      </w:pPr>
    </w:p>
    <w:p>
      <w:pPr>
        <w:jc w:val="both"/>
        <w:ind w:firstLine="517"/>
        <w:spacing w:after="0"/>
        <w:tabs>
          <w:tab w:leader="none" w:pos="862"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prior to the end of the Transition Period, you die or become permanently disabled (in accordance with the terms of Alaunos insurance policies), you will be deemed to have earned, and you or your estate will be entitled to retain, the full amount of the Retention Bonus.</w:t>
      </w:r>
    </w:p>
    <w:p>
      <w:pPr>
        <w:spacing w:after="0" w:line="211" w:lineRule="exact"/>
        <w:rPr>
          <w:rFonts w:ascii="Arial" w:cs="Arial" w:eastAsia="Arial" w:hAnsi="Arial"/>
          <w:sz w:val="22"/>
          <w:szCs w:val="22"/>
          <w:color w:val="auto"/>
        </w:rPr>
      </w:pPr>
    </w:p>
    <w:p>
      <w:pPr>
        <w:jc w:val="both"/>
        <w:ind w:firstLine="517"/>
        <w:spacing w:after="0"/>
        <w:tabs>
          <w:tab w:leader="none" w:pos="857"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your employment is involuntarily terminated by Alaunos prior to the end of the Transition Period due to your failure to perform your duties at an Acceptable Level, you will not have earned, and you will not be entitled to retain, any portion of the Retention Bonus.</w:t>
      </w:r>
    </w:p>
    <w:p>
      <w:pPr>
        <w:spacing w:after="0" w:line="212" w:lineRule="exact"/>
        <w:rPr>
          <w:sz w:val="20"/>
          <w:szCs w:val="20"/>
          <w:color w:val="auto"/>
        </w:rPr>
      </w:pPr>
    </w:p>
    <w:p>
      <w:pPr>
        <w:jc w:val="both"/>
        <w:ind w:firstLine="8"/>
        <w:spacing w:after="0"/>
        <w:tabs>
          <w:tab w:leader="none" w:pos="385"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If you resign from your employment for any reason or no reason, or otherwise cease active, full-time employment with Alaunos (except as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prior to the end of the Transition Period, you will not have earned, and you will not be entitled to retain, any portion of the Retention Bonus.</w:t>
      </w:r>
    </w:p>
    <w:p>
      <w:pPr>
        <w:spacing w:after="0" w:line="206" w:lineRule="exact"/>
        <w:rPr>
          <w:sz w:val="20"/>
          <w:szCs w:val="20"/>
          <w:color w:val="auto"/>
        </w:rPr>
      </w:pPr>
    </w:p>
    <w:p>
      <w:pPr>
        <w:jc w:val="both"/>
        <w:ind w:firstLine="8"/>
        <w:spacing w:after="0" w:line="243" w:lineRule="auto"/>
        <w:tabs>
          <w:tab w:leader="none" w:pos="509"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does not change your status as an at-will employee of Alaunos.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Alaunos may terminate your employment at any time, with or without cause, and with or without advance notice, for any reason not prohibited by law.</w:t>
      </w:r>
    </w:p>
    <w:p>
      <w:pPr>
        <w:spacing w:after="0" w:line="202" w:lineRule="exact"/>
        <w:rPr>
          <w:rFonts w:ascii="Arial" w:cs="Arial" w:eastAsia="Arial" w:hAnsi="Arial"/>
          <w:sz w:val="22"/>
          <w:szCs w:val="22"/>
          <w:color w:val="auto"/>
        </w:rPr>
      </w:pPr>
    </w:p>
    <w:p>
      <w:pPr>
        <w:jc w:val="both"/>
        <w:ind w:firstLine="8"/>
        <w:spacing w:after="0" w:line="234" w:lineRule="auto"/>
        <w:tabs>
          <w:tab w:leader="none" w:pos="509"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You must keep the terms of this Agreement, including the amount of your Retention Bonus, strictly</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confidential and not disclose them to anyone—including, but not limited to your co-workers—with the exception of your spouse, legal counsel and financial advisors, or as required by law. </w:t>
      </w:r>
      <w:r>
        <w:rPr>
          <w:rFonts w:ascii="Arial" w:cs="Arial" w:eastAsia="Arial" w:hAnsi="Arial"/>
          <w:sz w:val="22"/>
          <w:szCs w:val="22"/>
          <w:color w:val="auto"/>
        </w:rPr>
        <w:t>If you violate this Agreement, you forfeit your rights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earn and retain the Retention Bonus, and you must repay to Alaunos the full amount of the Retention Bonus. Notwithstanding the foregoing, nothing in this Agreement is intended to, or does, limit your right to participate in any Equal Employment Opportunity Commission (“</w:t>
      </w:r>
      <w:r>
        <w:rPr>
          <w:rFonts w:ascii="Arial" w:cs="Arial" w:eastAsia="Arial" w:hAnsi="Arial"/>
          <w:sz w:val="22"/>
          <w:szCs w:val="22"/>
          <w:u w:val="single" w:color="auto"/>
          <w:color w:val="auto"/>
        </w:rPr>
        <w:t>EEOC</w:t>
      </w:r>
      <w:r>
        <w:rPr>
          <w:rFonts w:ascii="Arial" w:cs="Arial" w:eastAsia="Arial" w:hAnsi="Arial"/>
          <w:sz w:val="22"/>
          <w:szCs w:val="22"/>
          <w:color w:val="auto"/>
        </w:rPr>
        <w:t>”) or other government agency investigation or proceeding. Similarly, nothing in this Agreement is intended to, or does, limit your rights to engage in protected activity under the National Labor Relations Act (“</w:t>
      </w:r>
      <w:r>
        <w:rPr>
          <w:rFonts w:ascii="Arial" w:cs="Arial" w:eastAsia="Arial" w:hAnsi="Arial"/>
          <w:sz w:val="22"/>
          <w:szCs w:val="22"/>
          <w:u w:val="single" w:color="auto"/>
          <w:color w:val="auto"/>
        </w:rPr>
        <w:t>NLRA</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jc w:val="both"/>
        <w:ind w:firstLine="8"/>
        <w:spacing w:after="0" w:line="235" w:lineRule="auto"/>
        <w:tabs>
          <w:tab w:leader="none" w:pos="509" w:val="left"/>
        </w:tabs>
        <w:numPr>
          <w:ilvl w:val="0"/>
          <w:numId w:val="61"/>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color w:val="auto"/>
        </w:rPr>
        <w:t>. Except in the context of an EEOC or other government agency investigation or proceeding, or</w:t>
      </w:r>
      <w:r>
        <w:rPr>
          <w:rFonts w:ascii="Arial" w:cs="Arial" w:eastAsia="Arial" w:hAnsi="Arial"/>
          <w:sz w:val="22"/>
          <w:szCs w:val="22"/>
          <w:b w:val="1"/>
          <w:bCs w:val="1"/>
          <w:color w:val="auto"/>
        </w:rPr>
        <w:t xml:space="preserve"> </w:t>
      </w:r>
      <w:r>
        <w:rPr>
          <w:rFonts w:ascii="Arial" w:cs="Arial" w:eastAsia="Arial" w:hAnsi="Arial"/>
          <w:sz w:val="22"/>
          <w:szCs w:val="22"/>
          <w:color w:val="auto"/>
        </w:rPr>
        <w:t>unless you are called by subpoena to testify under oath, you must refrain from taking any actions or making any statements that denigrate, defame or diminish the goodwill or reputation of Alaunos and its respective directors, officers, partners, employees, advisors or agents. If you violate this Agreement, including this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jc w:val="both"/>
        <w:ind w:firstLine="509"/>
        <w:spacing w:after="0" w:line="268" w:lineRule="auto"/>
        <w:rPr>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 you have not earned and you forfeit your rights to retain any portion of the Retention Bonus, and you must repay the full amount of the Retention Bonus. Notwithstanding the foregoing, nothing in this Agreement is intended to, or does, limit your right to participate in any EEOC or other government agency investigation or proceeding. Similarly, nothing in this Agreement is intended to, or does, limit your rights to engage in protected activity under the NLRA.</w:t>
      </w:r>
    </w:p>
    <w:p>
      <w:pPr>
        <w:spacing w:after="0" w:line="180" w:lineRule="exact"/>
        <w:rPr>
          <w:sz w:val="20"/>
          <w:szCs w:val="20"/>
          <w:color w:val="auto"/>
        </w:rPr>
      </w:pPr>
    </w:p>
    <w:p>
      <w:pPr>
        <w:jc w:val="both"/>
        <w:ind w:firstLine="8"/>
        <w:spacing w:after="0" w:line="279" w:lineRule="auto"/>
        <w:tabs>
          <w:tab w:leader="none" w:pos="509" w:val="left"/>
        </w:tabs>
        <w:numPr>
          <w:ilvl w:val="0"/>
          <w:numId w:val="62"/>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and the attachments hereto are intended to be the entire agreement between Alaunos</w:t>
      </w:r>
      <w:r>
        <w:rPr>
          <w:rFonts w:ascii="Arial" w:cs="Arial" w:eastAsia="Arial" w:hAnsi="Arial"/>
          <w:sz w:val="20"/>
          <w:szCs w:val="20"/>
          <w:b w:val="1"/>
          <w:bCs w:val="1"/>
          <w:color w:val="auto"/>
        </w:rPr>
        <w:t xml:space="preserve"> </w:t>
      </w:r>
      <w:r>
        <w:rPr>
          <w:rFonts w:ascii="Arial" w:cs="Arial" w:eastAsia="Arial" w:hAnsi="Arial"/>
          <w:sz w:val="20"/>
          <w:szCs w:val="20"/>
          <w:color w:val="auto"/>
        </w:rPr>
        <w:t>and you with respect to the subject matter addressed herein. No waiver or modification of any term of this Agreement shall be valid unless made in writing, signed by you and an authorized officer or agent of Alaunos.</w:t>
      </w:r>
    </w:p>
    <w:p>
      <w:pPr>
        <w:spacing w:after="0" w:line="168" w:lineRule="exact"/>
        <w:rPr>
          <w:rFonts w:ascii="Arial" w:cs="Arial" w:eastAsia="Arial" w:hAnsi="Arial"/>
          <w:sz w:val="20"/>
          <w:szCs w:val="20"/>
          <w:color w:val="auto"/>
        </w:rPr>
      </w:pPr>
    </w:p>
    <w:p>
      <w:pPr>
        <w:ind w:firstLine="8"/>
        <w:spacing w:after="0" w:line="256" w:lineRule="auto"/>
        <w:tabs>
          <w:tab w:leader="none" w:pos="509"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Controlling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in all respects be interpreted, enforced, and governed by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Texas, without regard to the state’s conflicts laws.</w:t>
      </w:r>
    </w:p>
    <w:p>
      <w:pPr>
        <w:spacing w:after="0" w:line="188" w:lineRule="exact"/>
        <w:rPr>
          <w:rFonts w:ascii="Arial" w:cs="Arial" w:eastAsia="Arial" w:hAnsi="Arial"/>
          <w:sz w:val="22"/>
          <w:szCs w:val="22"/>
          <w:color w:val="auto"/>
        </w:rPr>
      </w:pPr>
    </w:p>
    <w:p>
      <w:pPr>
        <w:jc w:val="both"/>
        <w:ind w:firstLine="8"/>
        <w:spacing w:after="0" w:line="243" w:lineRule="auto"/>
        <w:tabs>
          <w:tab w:leader="none" w:pos="509"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portion of this Agreement is held invalid by operation of law, it shall be modified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law to render it enforceable. If modification is not permitted by law, the invalid provision shall be struck and the remaining terms of this Agreement shall not be affected.</w:t>
      </w:r>
    </w:p>
    <w:p>
      <w:pPr>
        <w:spacing w:after="0" w:line="202" w:lineRule="exact"/>
        <w:rPr>
          <w:rFonts w:ascii="Arial" w:cs="Arial" w:eastAsia="Arial" w:hAnsi="Arial"/>
          <w:sz w:val="22"/>
          <w:szCs w:val="22"/>
          <w:color w:val="auto"/>
        </w:rPr>
      </w:pPr>
    </w:p>
    <w:p>
      <w:pPr>
        <w:jc w:val="both"/>
        <w:ind w:firstLine="8"/>
        <w:spacing w:after="0" w:line="243" w:lineRule="auto"/>
        <w:tabs>
          <w:tab w:leader="none" w:pos="509"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Full Compliance</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and agree that Alaunos’ agreement to provide the Retention Bonus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expressly contingent upon your full compliance with the provisions of this Agreement, as well as your performance at an Acceptable Level during your employment term.</w:t>
      </w:r>
    </w:p>
    <w:p>
      <w:pPr>
        <w:spacing w:after="0" w:line="202" w:lineRule="exact"/>
        <w:rPr>
          <w:rFonts w:ascii="Arial" w:cs="Arial" w:eastAsia="Arial" w:hAnsi="Arial"/>
          <w:sz w:val="22"/>
          <w:szCs w:val="22"/>
          <w:color w:val="auto"/>
        </w:rPr>
      </w:pPr>
    </w:p>
    <w:p>
      <w:pPr>
        <w:jc w:val="both"/>
        <w:ind w:firstLine="8"/>
        <w:spacing w:after="0" w:line="283" w:lineRule="auto"/>
        <w:tabs>
          <w:tab w:leader="none" w:pos="509"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inure to the benefit of, and may be enforced by, any of Alaunos successors</w:t>
      </w:r>
      <w:r>
        <w:rPr>
          <w:rFonts w:ascii="Arial" w:cs="Arial" w:eastAsia="Arial" w:hAnsi="Arial"/>
          <w:sz w:val="19"/>
          <w:szCs w:val="19"/>
          <w:b w:val="1"/>
          <w:bCs w:val="1"/>
          <w:color w:val="auto"/>
        </w:rPr>
        <w:t xml:space="preserve"> </w:t>
      </w:r>
      <w:r>
        <w:rPr>
          <w:rFonts w:ascii="Arial" w:cs="Arial" w:eastAsia="Arial" w:hAnsi="Arial"/>
          <w:sz w:val="19"/>
          <w:szCs w:val="19"/>
          <w:color w:val="auto"/>
        </w:rPr>
        <w:t>and assigns, including successors and assigns to all or substantially all of the assets or operations of the Company, whether by merger, acquisition, sale, assignment, operation of law or otherwise. You understand and agree that your duties, rights, and obligations under this Agreement are personal to you. Therefore, your duties, rights, and obligations as set forth herein may not be delegated or assigned by you to any other person without prior written consent of an authorized officer or agent of Alaunos.</w:t>
      </w:r>
    </w:p>
    <w:p>
      <w:pPr>
        <w:spacing w:after="0" w:line="168" w:lineRule="exact"/>
        <w:rPr>
          <w:rFonts w:ascii="Arial" w:cs="Arial" w:eastAsia="Arial" w:hAnsi="Arial"/>
          <w:sz w:val="19"/>
          <w:szCs w:val="19"/>
          <w:color w:val="auto"/>
        </w:rPr>
      </w:pPr>
    </w:p>
    <w:p>
      <w:pPr>
        <w:jc w:val="both"/>
        <w:ind w:firstLine="8"/>
        <w:spacing w:after="0" w:line="237" w:lineRule="auto"/>
        <w:tabs>
          <w:tab w:leader="none" w:pos="509" w:val="left"/>
        </w:tabs>
        <w:numPr>
          <w:ilvl w:val="0"/>
          <w:numId w:val="62"/>
        </w:numPr>
        <w:rPr>
          <w:rFonts w:ascii="Arial" w:cs="Arial" w:eastAsia="Arial" w:hAnsi="Arial"/>
          <w:sz w:val="22"/>
          <w:szCs w:val="22"/>
          <w:color w:val="auto"/>
        </w:rPr>
      </w:pPr>
      <w:r>
        <w:rPr>
          <w:rFonts w:ascii="Arial" w:cs="Arial" w:eastAsia="Arial" w:hAnsi="Arial"/>
          <w:sz w:val="22"/>
          <w:szCs w:val="22"/>
          <w:b w:val="1"/>
          <w:bCs w:val="1"/>
          <w:u w:val="single" w:color="auto"/>
          <w:color w:val="auto"/>
        </w:rPr>
        <w:t>Injunctive Relief</w:t>
      </w:r>
      <w:r>
        <w:rPr>
          <w:rFonts w:ascii="Arial" w:cs="Arial" w:eastAsia="Arial" w:hAnsi="Arial"/>
          <w:sz w:val="22"/>
          <w:szCs w:val="22"/>
          <w:color w:val="auto"/>
        </w:rPr>
        <w:t>. You understand and agree that any violation of your obligations arising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(“Confidentiality”) and </w:t>
      </w:r>
      <w:r>
        <w:rPr>
          <w:rFonts w:ascii="Arial" w:cs="Arial" w:eastAsia="Arial" w:hAnsi="Arial"/>
          <w:sz w:val="22"/>
          <w:szCs w:val="22"/>
          <w:u w:val="single" w:color="auto"/>
          <w:color w:val="auto"/>
        </w:rPr>
        <w:t>Section 6</w:t>
      </w:r>
      <w:r>
        <w:rPr>
          <w:rFonts w:ascii="Arial" w:cs="Arial" w:eastAsia="Arial" w:hAnsi="Arial"/>
          <w:sz w:val="22"/>
          <w:szCs w:val="22"/>
          <w:color w:val="auto"/>
        </w:rPr>
        <w:t xml:space="preserve"> (“Non-Disparagement”) will cause irreparable harm to Alaunos that cannot be fully remedied with monetary damages. Accordingly, Alaunos shall be entitled to injunctive relief in order to enforce the foregoing provisions of this Agreement. Alaunos shall be entitled to recover its costs and reasonable attorneys' fees incurred in enforcing its rights under this Agreement.</w:t>
      </w:r>
    </w:p>
    <w:p>
      <w:pPr>
        <w:spacing w:after="0" w:line="207" w:lineRule="exact"/>
        <w:rPr>
          <w:rFonts w:ascii="Arial" w:cs="Arial" w:eastAsia="Arial" w:hAnsi="Arial"/>
          <w:sz w:val="22"/>
          <w:szCs w:val="22"/>
          <w:color w:val="auto"/>
        </w:rPr>
      </w:pPr>
    </w:p>
    <w:p>
      <w:pPr>
        <w:ind w:left="520" w:hanging="512"/>
        <w:spacing w:after="0"/>
        <w:tabs>
          <w:tab w:leader="none" w:pos="520" w:val="left"/>
        </w:tabs>
        <w:numPr>
          <w:ilvl w:val="0"/>
          <w:numId w:val="62"/>
        </w:numPr>
        <w:rPr>
          <w:rFonts w:ascii="Arial" w:cs="Arial" w:eastAsia="Arial" w:hAnsi="Arial"/>
          <w:sz w:val="19"/>
          <w:szCs w:val="19"/>
          <w:color w:val="auto"/>
        </w:rPr>
      </w:pPr>
      <w:r>
        <w:rPr>
          <w:rFonts w:ascii="Arial" w:cs="Arial" w:eastAsia="Arial" w:hAnsi="Arial"/>
          <w:sz w:val="19"/>
          <w:szCs w:val="19"/>
          <w:b w:val="1"/>
          <w:bCs w:val="1"/>
          <w:u w:val="single" w:color="auto"/>
          <w:color w:val="auto"/>
        </w:rPr>
        <w:t>Cooperation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to make yourself reasonably available to Alaunos to answer questions about the company and its</w:t>
      </w:r>
    </w:p>
    <w:p>
      <w:pPr>
        <w:spacing w:after="0" w:line="4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business and respond to requests by Alaunos for information concerning matters involving facts or events that arose during the period of your employment with Alaunos and about which you have knowledge. In addition, you agree to assist and cooperate with Alaunos as reasonably requested with respect to any pending or future inquiries, challenges, charges or other proceedings by governmental authorities, or other actions, litigations, arbitrations or disputes or dispute resolutions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ind w:firstLine="509"/>
        <w:spacing w:after="0" w:line="257" w:lineRule="auto"/>
        <w:rPr>
          <w:sz w:val="20"/>
          <w:szCs w:val="20"/>
          <w:color w:val="auto"/>
        </w:rPr>
      </w:pPr>
      <w:r>
        <w:rPr>
          <w:rFonts w:ascii="Arial" w:cs="Arial" w:eastAsia="Arial" w:hAnsi="Arial"/>
          <w:sz w:val="20"/>
          <w:szCs w:val="20"/>
          <w:color w:val="auto"/>
        </w:rPr>
        <w:t>(collectively, "</w:t>
      </w:r>
      <w:r>
        <w:rPr>
          <w:rFonts w:ascii="Arial" w:cs="Arial" w:eastAsia="Arial" w:hAnsi="Arial"/>
          <w:sz w:val="20"/>
          <w:szCs w:val="20"/>
          <w:u w:val="single" w:color="auto"/>
          <w:color w:val="auto"/>
        </w:rPr>
        <w:t>Actions</w:t>
      </w:r>
      <w:r>
        <w:rPr>
          <w:rFonts w:ascii="Arial" w:cs="Arial" w:eastAsia="Arial" w:hAnsi="Arial"/>
          <w:sz w:val="20"/>
          <w:szCs w:val="20"/>
          <w:color w:val="auto"/>
        </w:rPr>
        <w:t>") concerning matters involving facts or events that arose during the period of your employment with Alaunos and about which you have knowledge (including but not limited to testifying, and/or otherwise providing written or oral responses, depositions or other evidence). You agree that your obligations under this Section shall continue after your employment with Alaunos terminates for whatever reason. Your cooperation and assistance regarding any Actions shall be at no expense to you, and Alaunos agrees to reimburse you for any reasonable expenses you incur as a result of your obligations under this Section upon receipt of documentation for such expenses in a form reasonably acceptable to Alaunos. Nothing in this Agreement is intended to, or does, (a) change any other aspect of your employment relationship with Alaunos unless expressly set forth herein, (b) limit your ability to respond to inquiries from, or otherwise cooperate with, any EEOC or other governmental or regulatory investigation concerning facts or events that arose during the period of your employment with Alaunos; or (c) create any obligation on your part to inform Alaunos about the fact or substance of any communications you may have with any governmental authorities in connection with any pending or future Actions.</w:t>
      </w:r>
    </w:p>
    <w:p>
      <w:pPr>
        <w:spacing w:after="0" w:line="198" w:lineRule="exact"/>
        <w:rPr>
          <w:sz w:val="20"/>
          <w:szCs w:val="20"/>
          <w:color w:val="auto"/>
        </w:rPr>
      </w:pPr>
    </w:p>
    <w:p>
      <w:pPr>
        <w:jc w:val="both"/>
        <w:ind w:firstLine="8"/>
        <w:spacing w:after="0" w:line="270" w:lineRule="auto"/>
        <w:tabs>
          <w:tab w:leader="none" w:pos="509"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Time to Accept</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have five (5) business days from the date on which you received this Agreement to consider</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to sign it. You may, however, sign this Agreement sooner, if you choose to do so. Changes to this Agreement, whether material or immaterial, will not restart the five-day consideration period. To accept this Agreement, you must sign it and return the signed copy by close of business to Melinda Lackey, Senior Vice President, Legal &amp; Admin by Friday, September 8, 2023.</w:t>
      </w:r>
    </w:p>
    <w:p>
      <w:pPr>
        <w:spacing w:after="0" w:line="178" w:lineRule="exact"/>
        <w:rPr>
          <w:rFonts w:ascii="Arial" w:cs="Arial" w:eastAsia="Arial" w:hAnsi="Arial"/>
          <w:sz w:val="20"/>
          <w:szCs w:val="20"/>
          <w:color w:val="auto"/>
        </w:rPr>
      </w:pPr>
    </w:p>
    <w:p>
      <w:pPr>
        <w:jc w:val="both"/>
        <w:ind w:firstLine="8"/>
        <w:spacing w:after="0" w:line="279" w:lineRule="auto"/>
        <w:tabs>
          <w:tab w:leader="none" w:pos="509"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and acknowledge that you have received and read this Agreement, the provisions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understandable to you, and you understand the meaning of the terms of this Agreement and their effect. You agree and acknowledge that you have entered into this Agreement freely and voluntarily.</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Thank you in advance for your continued contribution to Alaunos throughout this period of transition. We appreciate your service, and we wish you all the best in your future endeavors.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/s/ Melinda Lackey</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Melinda Lackey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 Legal &amp; Admin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Agreed to: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By: /s/ Drew C. Deniger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5,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EXHIBIT A</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 OF CLAIMS</w:t>
      </w:r>
    </w:p>
    <w:p>
      <w:pPr>
        <w:spacing w:after="0" w:line="211"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THIS GENERAL RELEASE OF CLAIMS (this “</w:t>
      </w:r>
      <w:r>
        <w:rPr>
          <w:rFonts w:ascii="Arial" w:cs="Arial" w:eastAsia="Arial" w:hAnsi="Arial"/>
          <w:sz w:val="19"/>
          <w:szCs w:val="19"/>
          <w:u w:val="single" w:color="auto"/>
          <w:color w:val="auto"/>
        </w:rPr>
        <w:t>Release</w:t>
      </w:r>
      <w:r>
        <w:rPr>
          <w:rFonts w:ascii="Arial" w:cs="Arial" w:eastAsia="Arial" w:hAnsi="Arial"/>
          <w:sz w:val="19"/>
          <w:szCs w:val="19"/>
          <w:color w:val="auto"/>
        </w:rPr>
        <w:t>”) is entered into by the employee set forth on the signature page to this Release (the “</w:t>
      </w:r>
      <w:r>
        <w:rPr>
          <w:rFonts w:ascii="Arial" w:cs="Arial" w:eastAsia="Arial" w:hAnsi="Arial"/>
          <w:sz w:val="19"/>
          <w:szCs w:val="19"/>
          <w:u w:val="single" w:color="auto"/>
          <w:color w:val="auto"/>
        </w:rPr>
        <w:t>Employee</w:t>
      </w:r>
      <w:r>
        <w:rPr>
          <w:rFonts w:ascii="Arial" w:cs="Arial" w:eastAsia="Arial" w:hAnsi="Arial"/>
          <w:sz w:val="19"/>
          <w:szCs w:val="19"/>
          <w:color w:val="auto"/>
        </w:rPr>
        <w:t>”) as part of the Confidential Retention Agreement by and between Employee and Alaunos Therapeutics, Inc. (“</w:t>
      </w:r>
      <w:r>
        <w:rPr>
          <w:rFonts w:ascii="Arial" w:cs="Arial" w:eastAsia="Arial" w:hAnsi="Arial"/>
          <w:sz w:val="19"/>
          <w:szCs w:val="19"/>
          <w:u w:val="single" w:color="auto"/>
          <w:color w:val="auto"/>
        </w:rPr>
        <w:t>Alaunos</w:t>
      </w:r>
      <w:r>
        <w:rPr>
          <w:rFonts w:ascii="Arial" w:cs="Arial" w:eastAsia="Arial" w:hAnsi="Arial"/>
          <w:sz w:val="19"/>
          <w:szCs w:val="19"/>
          <w:color w:val="auto"/>
        </w:rPr>
        <w:t>”) of which this Release is part of and incorporated therein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Capitalized terms used herein and not otherwise defined have the meanings given such defined term in the Retention Agreement.</w:t>
      </w:r>
    </w:p>
    <w:p>
      <w:pPr>
        <w:spacing w:after="0" w:line="14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good and valuable consideration, the receipt and sufficiency of which is hereby acknowledged, including, without limitation, the Retention Bonus, Employee and Alaunos hereby agree as follows:</w:t>
      </w:r>
    </w:p>
    <w:p>
      <w:pPr>
        <w:spacing w:after="0" w:line="168" w:lineRule="exact"/>
        <w:rPr>
          <w:sz w:val="20"/>
          <w:szCs w:val="20"/>
          <w:color w:val="auto"/>
        </w:rPr>
      </w:pPr>
    </w:p>
    <w:p>
      <w:pPr>
        <w:jc w:val="both"/>
        <w:ind w:firstLine="757"/>
        <w:spacing w:after="0" w:line="243" w:lineRule="auto"/>
        <w:tabs>
          <w:tab w:leader="none" w:pos="1018"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 xml:space="preserve">Retention Bonus. </w:t>
      </w:r>
      <w:r>
        <w:rPr>
          <w:rFonts w:ascii="Arial" w:cs="Arial" w:eastAsia="Arial" w:hAnsi="Arial"/>
          <w:sz w:val="22"/>
          <w:szCs w:val="22"/>
          <w:color w:val="auto"/>
        </w:rPr>
        <w:t>In consideration of Employee’s promises and releases contained in this Release, Alaunos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Employee with the opportunity to earn the Retention Bonus, less all deductions and withholdings required by law, as set forth in and in accordance with the Retention Agreement.</w:t>
      </w:r>
    </w:p>
    <w:p>
      <w:pPr>
        <w:spacing w:after="0" w:line="175" w:lineRule="exact"/>
        <w:rPr>
          <w:rFonts w:ascii="Arial" w:cs="Arial" w:eastAsia="Arial" w:hAnsi="Arial"/>
          <w:sz w:val="22"/>
          <w:szCs w:val="22"/>
          <w:color w:val="auto"/>
        </w:rPr>
      </w:pPr>
    </w:p>
    <w:p>
      <w:pPr>
        <w:jc w:val="both"/>
        <w:ind w:firstLine="757"/>
        <w:spacing w:after="0" w:line="255" w:lineRule="auto"/>
        <w:tabs>
          <w:tab w:leader="none" w:pos="1018"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In exchange for the good and valuable consideration described herein, including, without limitation,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opportunity to earn the Retention Bonus, Employee, on behalf of Employee and Employee’s heirs, executors, administrators, and assigns, hereby releases, waives, and forever discharges, and shall not bring or file any lawsuit regarding, any and all claims or liabilities against Alaunos, its past, present and future parents, subsidiaries, and affiliated entities, as well as any predecessor, successor, or assign of any of them or to their respective assets or business; any health or welfare benefits plans, agents, and attorneys of any of them; and any of their respective members, managers, owners, officers, directors, trustees, employees, representatives and agents (collectively, the “</w:t>
      </w:r>
      <w:r>
        <w:rPr>
          <w:rFonts w:ascii="Arial" w:cs="Arial" w:eastAsia="Arial" w:hAnsi="Arial"/>
          <w:sz w:val="20"/>
          <w:szCs w:val="20"/>
          <w:u w:val="single" w:color="auto"/>
          <w:color w:val="auto"/>
        </w:rPr>
        <w:t>Releasees</w:t>
      </w:r>
      <w:r>
        <w:rPr>
          <w:rFonts w:ascii="Arial" w:cs="Arial" w:eastAsia="Arial" w:hAnsi="Arial"/>
          <w:sz w:val="20"/>
          <w:szCs w:val="20"/>
          <w:color w:val="auto"/>
        </w:rPr>
        <w:t xml:space="preserve">”), of whatever kind or nature which Employee has ever had or which Employee now has, known or unknown, suspected or unsuspected, from the beginning of time through and including through the date of execution of this Release,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claims for unpaid compensation (including, but not limited to, claims for past or future wages, salary, commission or expense reimbursement), </w:t>
      </w:r>
      <w:r>
        <w:rPr>
          <w:rFonts w:ascii="Arial" w:cs="Arial" w:eastAsia="Arial" w:hAnsi="Arial"/>
          <w:sz w:val="20"/>
          <w:szCs w:val="20"/>
          <w:u w:val="single" w:color="auto"/>
          <w:color w:val="auto"/>
        </w:rPr>
        <w:t>but including, but not limited to,</w:t>
      </w:r>
      <w:r>
        <w:rPr>
          <w:rFonts w:ascii="Arial" w:cs="Arial" w:eastAsia="Arial" w:hAnsi="Arial"/>
          <w:sz w:val="20"/>
          <w:szCs w:val="20"/>
          <w:color w:val="auto"/>
        </w:rPr>
        <w:t xml:space="preserve"> any and all claims or counterclaims for breach of contract, breach of fiduciary duty, unfair competition, wrongful or unlawful discharge, constructive discharge, personal injury, tortious interference with contractual relations, promissory estoppel, detrimental reliance, breach of the implied covenant of good faith and fair dealing, breach of express or implied promise, breach of manuals or other policies, assault, battery, fraud, false imprisonment, invasion of privacy, intentional or negligent misrepresentation, defamation (including, but not limited to, libel, slander, discharge defamation and self-publication defamation), discharge in violation of public policy, whistleblower, intentional or negligent infliction of emotional distress, compensatory or punitive damages, claims for attorney’s fees, and all common-law claims arising under any other theory, whether legal or equitable; claims or counterclaims for violations of Title VII of the Civil Rights Act of 1964, as amended; the Americans with Disabilities Act, as amended; the Employee Retirement Income Security Act of 1974; the Family and Medical Leave Act; the Equal Pay Act; the Age Discrimination in Employment Act of 1967, as amended; the Older Workers Benefit Protection Act; the Occupational Safety and Health Act; the Genetic Information 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20"/>
          <w:szCs w:val="20"/>
          <w:color w:val="auto"/>
        </w:rPr>
        <w:t>Nondiscrimination Act; the Immigration Reform Control Act; the Uniformed Services Employment and Reemployment Rights Act; the Worker Adjustment and Retraining Notification Act of 1988; Texas Commission on Human Rights Act, Tex. Lab. Code Ann. §§ 21.001-21.556; Tex. Lab. Code Ann. §§ 61.001-61.095 (payment of wages); violations of any state and/or municipality whistle blowing statutes or laws or fair employment statutes or laws, or violations of any other law, rule, regulation, or ordinance pertaining to employment, past wages, hours, stock ownership, or any other terms and conditions of employment and termination of employment; and any other claims, counterclaims and/or third party claims, which have been, or could have been, asserted by Employee in any court, arbitration, or other forum arising out of or in any way related to the relationships between Employee and Releasees, including, without limitation, arising in any way out of Employee’s employment with Alaunos to the fullest extent permitted by law.</w:t>
      </w:r>
    </w:p>
    <w:p>
      <w:pPr>
        <w:spacing w:after="0" w:line="16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20"/>
          <w:szCs w:val="20"/>
          <w:color w:val="auto"/>
        </w:rPr>
        <w:t xml:space="preserve">Notwithstanding anything herein to the contrary, the provisions of this Release </w:t>
      </w:r>
      <w:r>
        <w:rPr>
          <w:rFonts w:ascii="Arial" w:cs="Arial" w:eastAsia="Arial" w:hAnsi="Arial"/>
          <w:sz w:val="20"/>
          <w:szCs w:val="20"/>
          <w:u w:val="single" w:color="auto"/>
          <w:color w:val="auto"/>
        </w:rPr>
        <w:t>do not apply to</w:t>
      </w:r>
      <w:r>
        <w:rPr>
          <w:rFonts w:ascii="Arial" w:cs="Arial" w:eastAsia="Arial" w:hAnsi="Arial"/>
          <w:sz w:val="20"/>
          <w:szCs w:val="20"/>
          <w:color w:val="auto"/>
        </w:rPr>
        <w:t xml:space="preserve"> claims that may arise after the date this Release is executed; claims that cannot be released as a matter of law; Employee’s right to file a charge or compliant, or to participate in any investigation, with any local, state, or federal commission or agency such as the Equal Employment Opportunity Commission (“</w:t>
      </w:r>
      <w:r>
        <w:rPr>
          <w:rFonts w:ascii="Arial" w:cs="Arial" w:eastAsia="Arial" w:hAnsi="Arial"/>
          <w:sz w:val="20"/>
          <w:szCs w:val="20"/>
          <w:u w:val="single" w:color="auto"/>
          <w:color w:val="auto"/>
        </w:rPr>
        <w:t>EEOC</w:t>
      </w:r>
      <w:r>
        <w:rPr>
          <w:rFonts w:ascii="Arial" w:cs="Arial" w:eastAsia="Arial" w:hAnsi="Arial"/>
          <w:sz w:val="20"/>
          <w:szCs w:val="20"/>
          <w:color w:val="auto"/>
        </w:rPr>
        <w:t xml:space="preserve">”); or Employee’s right to challenge the validity of this Release after executing 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however, that Employee agrees that as a result of Employee’s release in this Release, Employee is not and will not be entitled to any monetary or other comparable relief from the Releasees related to any charge or complaint or investigation or proceeding brought by Employee, the EEOC, or any other person or entity, including but not limited to any federal, state, or local government agency. Nothing in this Release, however, prohibits Employee from receiving any monetary or other award offered by any government agency. Furthermore, this Release does not affect Employee’s right to file for unemployment benefits according to applicable state law.</w:t>
      </w:r>
    </w:p>
    <w:p>
      <w:pPr>
        <w:spacing w:after="0" w:line="165" w:lineRule="exact"/>
        <w:rPr>
          <w:sz w:val="20"/>
          <w:szCs w:val="20"/>
          <w:color w:val="auto"/>
        </w:rPr>
      </w:pPr>
    </w:p>
    <w:p>
      <w:pPr>
        <w:jc w:val="both"/>
        <w:ind w:firstLine="757"/>
        <w:spacing w:after="0" w:line="239" w:lineRule="auto"/>
        <w:tabs>
          <w:tab w:leader="none" w:pos="1018"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Time to Consider and Accept Release/Consultation with Attorney</w:t>
      </w:r>
      <w:r>
        <w:rPr>
          <w:rFonts w:ascii="Arial" w:cs="Arial" w:eastAsia="Arial" w:hAnsi="Arial"/>
          <w:sz w:val="22"/>
          <w:szCs w:val="22"/>
          <w:color w:val="auto"/>
        </w:rPr>
        <w:t>. Employee will have five (5) business days</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date on which Employee received this Release, to consider whether to sign it. Changes to this Release, whether material or immaterial, will not restart the 5-day consideration period. During this time, Alaunos advises Employee to consult with an attorney of Employee’s choice.</w:t>
      </w:r>
    </w:p>
    <w:p>
      <w:pPr>
        <w:spacing w:after="0" w:line="18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In order to retain and earn the Retention Bonus, Employee must sign this Release and return the signed original to Alaunos as provided in this Release and the Retention Agreement.</w:t>
      </w:r>
    </w:p>
    <w:p>
      <w:pPr>
        <w:spacing w:after="0" w:line="168" w:lineRule="exact"/>
        <w:rPr>
          <w:sz w:val="20"/>
          <w:szCs w:val="20"/>
          <w:color w:val="auto"/>
        </w:rPr>
      </w:pPr>
    </w:p>
    <w:p>
      <w:pPr>
        <w:jc w:val="both"/>
        <w:ind w:firstLine="757"/>
        <w:spacing w:after="0" w:line="237" w:lineRule="auto"/>
        <w:tabs>
          <w:tab w:leader="none" w:pos="1018"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 xml:space="preserve">Acknowledgments and Affirmations. </w:t>
      </w:r>
      <w:r>
        <w:rPr>
          <w:rFonts w:ascii="Arial" w:cs="Arial" w:eastAsia="Arial" w:hAnsi="Arial"/>
          <w:sz w:val="22"/>
          <w:szCs w:val="22"/>
          <w:color w:val="auto"/>
        </w:rPr>
        <w:t>Employee affirms that Employee has not filed, caused to be filed, intends to</w:t>
      </w:r>
      <w:r>
        <w:rPr>
          <w:rFonts w:ascii="Arial" w:cs="Arial" w:eastAsia="Arial" w:hAnsi="Arial"/>
          <w:sz w:val="22"/>
          <w:szCs w:val="22"/>
          <w:b w:val="1"/>
          <w:bCs w:val="1"/>
          <w:color w:val="auto"/>
        </w:rPr>
        <w:t xml:space="preserve"> </w:t>
      </w:r>
      <w:r>
        <w:rPr>
          <w:rFonts w:ascii="Arial" w:cs="Arial" w:eastAsia="Arial" w:hAnsi="Arial"/>
          <w:sz w:val="22"/>
          <w:szCs w:val="22"/>
          <w:color w:val="auto"/>
        </w:rPr>
        <w:t>file and is not presently a party to any claim against Alaunos or any of the Releasees. Employee further represents and warrants that Employee is not aware of any facts or circumstances that might justify a claim against the Releasees for any violation of the Family and Medical Leave Act (“</w:t>
      </w:r>
      <w:r>
        <w:rPr>
          <w:rFonts w:ascii="Arial" w:cs="Arial" w:eastAsia="Arial" w:hAnsi="Arial"/>
          <w:sz w:val="22"/>
          <w:szCs w:val="22"/>
          <w:u w:val="single" w:color="auto"/>
          <w:color w:val="auto"/>
        </w:rPr>
        <w:t>FMLA</w:t>
      </w:r>
      <w:r>
        <w:rPr>
          <w:rFonts w:ascii="Arial" w:cs="Arial" w:eastAsia="Arial" w:hAnsi="Arial"/>
          <w:sz w:val="22"/>
          <w:szCs w:val="22"/>
          <w:color w:val="auto"/>
        </w:rPr>
        <w:t>”) or the Fair Labor Standards Act (“</w:t>
      </w:r>
      <w:r>
        <w:rPr>
          <w:rFonts w:ascii="Arial" w:cs="Arial" w:eastAsia="Arial" w:hAnsi="Arial"/>
          <w:sz w:val="22"/>
          <w:szCs w:val="22"/>
          <w:u w:val="single" w:color="auto"/>
          <w:color w:val="auto"/>
        </w:rPr>
        <w:t>FLSA</w:t>
      </w:r>
      <w:r>
        <w:rPr>
          <w:rFonts w:ascii="Arial" w:cs="Arial" w:eastAsia="Arial" w:hAnsi="Arial"/>
          <w:sz w:val="22"/>
          <w:szCs w:val="22"/>
          <w:color w:val="auto"/>
        </w:rPr>
        <w:t>”) or comparable state statutes as of the date this Release is signed.</w:t>
      </w:r>
    </w:p>
    <w:p>
      <w:pPr>
        <w:spacing w:after="0" w:line="180" w:lineRule="exact"/>
        <w:rPr>
          <w:rFonts w:ascii="Arial" w:cs="Arial" w:eastAsia="Arial" w:hAnsi="Arial"/>
          <w:sz w:val="22"/>
          <w:szCs w:val="22"/>
          <w:color w:val="auto"/>
        </w:rPr>
      </w:pPr>
    </w:p>
    <w:p>
      <w:pPr>
        <w:jc w:val="both"/>
        <w:ind w:firstLine="757"/>
        <w:spacing w:after="0" w:line="266" w:lineRule="auto"/>
        <w:tabs>
          <w:tab w:leader="none" w:pos="1018"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Confidentiality. </w:t>
      </w:r>
      <w:r>
        <w:rPr>
          <w:rFonts w:ascii="Arial" w:cs="Arial" w:eastAsia="Arial" w:hAnsi="Arial"/>
          <w:sz w:val="20"/>
          <w:szCs w:val="20"/>
          <w:color w:val="auto"/>
        </w:rPr>
        <w:t>Employee agrees to keep the facts and terms of this Release in strict confidence to the fullest extent</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by law. Employee agrees that, except as required by law, Employee will not disclose this document, its contents, or subject matter to any person other than Employee’s spouse (if applicable), attorney, accountant, income tax preparer, or other similar professionals. Furthermore, to the extent that Employee is permitted to disclose, and does disclose, such information, Employee agrees to require that the person receiving such information will</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maintain its confidentiality and/or to take any other available measures to protect the confidentiality of this Release.</w:t>
      </w:r>
    </w:p>
    <w:p>
      <w:pPr>
        <w:spacing w:after="0" w:line="199" w:lineRule="exact"/>
        <w:rPr>
          <w:sz w:val="20"/>
          <w:szCs w:val="20"/>
          <w:color w:val="auto"/>
        </w:rPr>
      </w:pPr>
    </w:p>
    <w:p>
      <w:pPr>
        <w:jc w:val="both"/>
        <w:ind w:firstLine="757"/>
        <w:spacing w:after="0" w:line="243" w:lineRule="auto"/>
        <w:tabs>
          <w:tab w:leader="none" w:pos="1018"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No Admission. </w:t>
      </w:r>
      <w:r>
        <w:rPr>
          <w:rFonts w:ascii="Arial" w:cs="Arial" w:eastAsia="Arial" w:hAnsi="Arial"/>
          <w:sz w:val="22"/>
          <w:szCs w:val="22"/>
          <w:color w:val="auto"/>
        </w:rPr>
        <w:t>Employee understands and agrees that Releasees admit no liability with respect to any claim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to, or arising out of, Employee’s relationship with Company or the termination thereof or otherwise relating to the claims released by Employee under this Release.</w:t>
      </w:r>
    </w:p>
    <w:p>
      <w:pPr>
        <w:spacing w:after="0" w:line="175" w:lineRule="exact"/>
        <w:rPr>
          <w:rFonts w:ascii="Arial" w:cs="Arial" w:eastAsia="Arial" w:hAnsi="Arial"/>
          <w:sz w:val="22"/>
          <w:szCs w:val="22"/>
          <w:color w:val="auto"/>
        </w:rPr>
      </w:pPr>
    </w:p>
    <w:p>
      <w:pPr>
        <w:jc w:val="both"/>
        <w:ind w:firstLine="757"/>
        <w:spacing w:after="0" w:line="237" w:lineRule="auto"/>
        <w:tabs>
          <w:tab w:leader="none" w:pos="1018"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Entire Release/Severability. </w:t>
      </w:r>
      <w:r>
        <w:rPr>
          <w:rFonts w:ascii="Arial" w:cs="Arial" w:eastAsia="Arial" w:hAnsi="Arial"/>
          <w:sz w:val="22"/>
          <w:szCs w:val="22"/>
          <w:color w:val="auto"/>
        </w:rPr>
        <w:t>This Release, as well as the other provisions of the Retention Agreement, contains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entire agreement between the parties with respect to the subject matter hereof, and no releases, representations, or statements of any party not contained herein shall be binding on such party. The provisions of this Release are deemed severable and the invalidity or unenforceability of any provision or part of this Release in any respect shall not affect the validity or enforceability of this Release in any other respect.</w:t>
      </w:r>
    </w:p>
    <w:p>
      <w:pPr>
        <w:spacing w:after="0" w:line="180" w:lineRule="exact"/>
        <w:rPr>
          <w:rFonts w:ascii="Arial" w:cs="Arial" w:eastAsia="Arial" w:hAnsi="Arial"/>
          <w:sz w:val="22"/>
          <w:szCs w:val="22"/>
          <w:color w:val="auto"/>
        </w:rPr>
      </w:pPr>
    </w:p>
    <w:p>
      <w:pPr>
        <w:jc w:val="both"/>
        <w:ind w:firstLine="757"/>
        <w:spacing w:after="0" w:line="300" w:lineRule="auto"/>
        <w:tabs>
          <w:tab w:leader="none" w:pos="1018" w:val="left"/>
        </w:tabs>
        <w:numPr>
          <w:ilvl w:val="0"/>
          <w:numId w:val="67"/>
        </w:numPr>
        <w:rPr>
          <w:rFonts w:ascii="Arial" w:cs="Arial" w:eastAsia="Arial" w:hAnsi="Arial"/>
          <w:sz w:val="19"/>
          <w:szCs w:val="19"/>
          <w:color w:val="auto"/>
        </w:rPr>
      </w:pPr>
      <w:r>
        <w:rPr>
          <w:rFonts w:ascii="Arial" w:cs="Arial" w:eastAsia="Arial" w:hAnsi="Arial"/>
          <w:sz w:val="19"/>
          <w:szCs w:val="19"/>
          <w:b w:val="1"/>
          <w:bCs w:val="1"/>
          <w:color w:val="auto"/>
        </w:rPr>
        <w:t xml:space="preserve">Controlling Law. </w:t>
      </w:r>
      <w:r>
        <w:rPr>
          <w:rFonts w:ascii="Arial" w:cs="Arial" w:eastAsia="Arial" w:hAnsi="Arial"/>
          <w:sz w:val="19"/>
          <w:szCs w:val="19"/>
          <w:color w:val="auto"/>
        </w:rPr>
        <w:t>This Release shall be governed by and construed in accordance with the laws of the State of Texas,</w:t>
      </w:r>
      <w:r>
        <w:rPr>
          <w:rFonts w:ascii="Arial" w:cs="Arial" w:eastAsia="Arial" w:hAnsi="Arial"/>
          <w:sz w:val="19"/>
          <w:szCs w:val="19"/>
          <w:b w:val="1"/>
          <w:bCs w:val="1"/>
          <w:color w:val="auto"/>
        </w:rPr>
        <w:t xml:space="preserve"> </w:t>
      </w:r>
      <w:r>
        <w:rPr>
          <w:rFonts w:ascii="Arial" w:cs="Arial" w:eastAsia="Arial" w:hAnsi="Arial"/>
          <w:sz w:val="19"/>
          <w:szCs w:val="19"/>
          <w:color w:val="auto"/>
        </w:rPr>
        <w:t>as they are applied to contracts made and to be wholly performed in that state, regardless of choice of law principles to the contrary. In addition, employee consents to the exclusive jurisdiction of any Texas court in any dispute arising from this Release.</w:t>
      </w:r>
    </w:p>
    <w:p>
      <w:pPr>
        <w:spacing w:after="0" w:line="124" w:lineRule="exact"/>
        <w:rPr>
          <w:rFonts w:ascii="Arial" w:cs="Arial" w:eastAsia="Arial" w:hAnsi="Arial"/>
          <w:sz w:val="19"/>
          <w:szCs w:val="19"/>
          <w:color w:val="auto"/>
        </w:rPr>
      </w:pPr>
    </w:p>
    <w:p>
      <w:pPr>
        <w:jc w:val="both"/>
        <w:ind w:firstLine="757"/>
        <w:spacing w:after="0" w:line="263" w:lineRule="auto"/>
        <w:tabs>
          <w:tab w:leader="none" w:pos="1018"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 xml:space="preserve">Execution of Release. </w:t>
      </w:r>
      <w:r>
        <w:rPr>
          <w:rFonts w:ascii="Arial" w:cs="Arial" w:eastAsia="Arial" w:hAnsi="Arial"/>
          <w:sz w:val="20"/>
          <w:szCs w:val="20"/>
          <w:color w:val="auto"/>
        </w:rPr>
        <w:t>Employee understands that Employee has five days following the receipt of the Release to</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 this Release and return an executed copy of the Release to Alaunos. In the event the Employee fails to sign and return the Release to Alaunos by the date described above, the Retention Bonus shall not be earned and will no longer be available for acceptance and this Release shall have no further force or effect. Employee confirms, by the signature below, that Employee has had a reasonable period of time in which to consider whether to execute this Release, and that no one hurried or coerced the Employee to execute this Release during such time.</w:t>
      </w:r>
    </w:p>
    <w:p>
      <w:pPr>
        <w:spacing w:after="0" w:line="160" w:lineRule="exact"/>
        <w:rPr>
          <w:sz w:val="20"/>
          <w:szCs w:val="20"/>
          <w:color w:val="auto"/>
        </w:rPr>
      </w:pPr>
    </w:p>
    <w:p>
      <w:pPr>
        <w:jc w:val="both"/>
        <w:ind w:left="760" w:right="740"/>
        <w:spacing w:after="0" w:line="237" w:lineRule="auto"/>
        <w:rPr>
          <w:sz w:val="20"/>
          <w:szCs w:val="20"/>
          <w:color w:val="auto"/>
        </w:rPr>
      </w:pPr>
      <w:r>
        <w:rPr>
          <w:rFonts w:ascii="Arial" w:cs="Arial" w:eastAsia="Arial" w:hAnsi="Arial"/>
          <w:sz w:val="22"/>
          <w:szCs w:val="22"/>
          <w:b w:val="1"/>
          <w:bCs w:val="1"/>
          <w:color w:val="auto"/>
        </w:rPr>
        <w:t>BY THE SIGNATURE BELOW, EMPLOYEE HEREBY CONFIRMS THAT EMPLOYEE FREELY AND KNOWINGLY, AND AFTER DUE CONSIDERATION, ENTERS INTO THIS SEPARATION RELEASE AND RELEASE WITH THE UNDERSTANDING THAT BY DOING SO, EMPLOYEE WAIVES, SETTLES AND RELEASES ALL CLAIMS EMPLOYEE HAS OR MIGHT HAVE AGAINST RELEASEES TO THE FULLEST EXTENT PERMITTED BY LAW.</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ind w:left="760"/>
        <w:spacing w:after="0"/>
        <w:rPr>
          <w:sz w:val="20"/>
          <w:szCs w:val="20"/>
          <w:color w:val="auto"/>
        </w:rPr>
      </w:pPr>
      <w:r>
        <w:rPr>
          <w:rFonts w:ascii="Arial" w:cs="Arial" w:eastAsia="Arial" w:hAnsi="Arial"/>
          <w:sz w:val="19"/>
          <w:szCs w:val="19"/>
          <w:color w:val="auto"/>
        </w:rPr>
        <w:t>Employee knowingly and voluntarily signed this Release as of the date set forth below:</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By: /s/ Drew C. Deniger</w:t>
      </w:r>
    </w:p>
    <w:p>
      <w:pPr>
        <w:spacing w:after="0" w:line="237" w:lineRule="auto"/>
        <w:rPr>
          <w:sz w:val="20"/>
          <w:szCs w:val="20"/>
          <w:color w:val="auto"/>
        </w:rPr>
      </w:pPr>
      <w:r>
        <w:rPr>
          <w:rFonts w:ascii="Arial" w:cs="Arial" w:eastAsia="Arial" w:hAnsi="Arial"/>
          <w:sz w:val="22"/>
          <w:szCs w:val="22"/>
          <w:color w:val="auto"/>
        </w:rPr>
        <w:t>Printed Name: Drew C. Deniger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September 5, 2023</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CERTIFICATION OF PRINCIPAL EXECUTIVE OFFICER AND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S. Boyle, Sr., certify that:</w:t>
      </w:r>
    </w:p>
    <w:p>
      <w:pPr>
        <w:spacing w:after="0" w:line="23"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Alaunos Therapeutics, Inc.;</w:t>
      </w:r>
    </w:p>
    <w:p>
      <w:pPr>
        <w:spacing w:after="0" w:line="8" w:lineRule="exact"/>
        <w:rPr>
          <w:rFonts w:ascii="Arial" w:cs="Arial" w:eastAsia="Arial" w:hAnsi="Arial"/>
          <w:sz w:val="18"/>
          <w:szCs w:val="18"/>
          <w:color w:val="auto"/>
        </w:rPr>
      </w:pPr>
    </w:p>
    <w:p>
      <w:pPr>
        <w:jc w:val="both"/>
        <w:ind w:left="760" w:right="20" w:hanging="752"/>
        <w:spacing w:after="0" w:line="250"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760" w:right="260" w:hanging="752"/>
        <w:spacing w:after="0" w:line="264" w:lineRule="auto"/>
        <w:tabs>
          <w:tab w:leader="none" w:pos="7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760" w:right="20" w:hanging="752"/>
        <w:spacing w:after="0" w:line="250"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500" w:right="160" w:hanging="743"/>
        <w:spacing w:after="0" w:line="264" w:lineRule="auto"/>
        <w:tabs>
          <w:tab w:leader="none" w:pos="15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ind w:left="1500" w:right="220" w:hanging="743"/>
        <w:spacing w:after="0" w:line="250"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1500" w:right="20" w:hanging="743"/>
        <w:spacing w:after="0" w:line="281" w:lineRule="auto"/>
        <w:tabs>
          <w:tab w:leader="none" w:pos="15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20" w:hanging="743"/>
        <w:spacing w:after="0" w:line="250"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760" w:right="180" w:hanging="752"/>
        <w:spacing w:after="0" w:line="281" w:lineRule="auto"/>
        <w:tabs>
          <w:tab w:leader="none" w:pos="7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00" w:right="260" w:hanging="743"/>
        <w:spacing w:after="0" w:line="281" w:lineRule="auto"/>
        <w:tabs>
          <w:tab w:leader="none" w:pos="15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60"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S. Boyle, 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S. Boyle,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connection with the Quarterly Report of Alaunos Therapeutics, Inc. (the “Company”) on Form 10-Q for the period ended September 30, 2023,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spacing w:after="0" w:line="2" w:lineRule="exact"/>
        <w:rPr>
          <w:sz w:val="20"/>
          <w:szCs w:val="20"/>
          <w:color w:val="auto"/>
        </w:rPr>
      </w:pPr>
    </w:p>
    <w:p>
      <w:pPr>
        <w:ind w:left="760" w:hanging="37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690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Kevin S. Boyle,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1."/>
      <w:numFmt w:val="decimal"/>
      <w:start w:val="3"/>
    </w:lvl>
  </w:abstractNum>
  <w:abstractNum w:abstractNumId="7">
    <w:nsid w:val="2463B9EA"/>
    <w:multiLevelType w:val="hybridMultilevel"/>
    <w:lvl w:ilvl="0">
      <w:lvlJc w:val="left"/>
      <w:lvlText w:val="%1."/>
      <w:numFmt w:val="decimal"/>
      <w:start w:val="4"/>
    </w:lvl>
  </w:abstractNum>
  <w:abstractNum w:abstractNumId="8">
    <w:nsid w:val="5E884ADC"/>
    <w:multiLevelType w:val="hybridMultilevel"/>
    <w:lvl w:ilvl="0">
      <w:lvlJc w:val="left"/>
      <w:lvlText w:val="%1."/>
      <w:numFmt w:val="decimal"/>
      <w:start w:val="5"/>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6"/>
    </w:lvl>
  </w:abstractNum>
  <w:abstractNum w:abstractNumId="11">
    <w:nsid w:val="580BD78F"/>
    <w:multiLevelType w:val="hybridMultilevel"/>
    <w:lvl w:ilvl="0">
      <w:lvlJc w:val="left"/>
      <w:lvlText w:val="%1."/>
      <w:numFmt w:val="decimal"/>
      <w:start w:val="7"/>
    </w:lvl>
  </w:abstractNum>
  <w:abstractNum w:abstractNumId="12">
    <w:nsid w:val="153EA438"/>
    <w:multiLevelType w:val="hybridMultilevel"/>
    <w:lvl w:ilvl="0">
      <w:lvlJc w:val="left"/>
      <w:lvlText w:val="%1."/>
      <w:numFmt w:val="decimal"/>
      <w:start w:val="8"/>
    </w:lvl>
  </w:abstractNum>
  <w:abstractNum w:abstractNumId="13">
    <w:nsid w:val="3855585C"/>
    <w:multiLevelType w:val="hybridMultilevel"/>
    <w:lvl w:ilvl="0">
      <w:lvlJc w:val="left"/>
      <w:lvlText w:val="%1."/>
      <w:numFmt w:val="decimal"/>
      <w:start w:val="9"/>
    </w:lvl>
  </w:abstractNum>
  <w:abstractNum w:abstractNumId="14">
    <w:nsid w:val="70A64E2A"/>
    <w:multiLevelType w:val="hybridMultilevel"/>
    <w:lvl w:ilvl="0">
      <w:lvlJc w:val="left"/>
      <w:lvlText w:val="(%1)"/>
      <w:numFmt w:val="upperLetter"/>
      <w:start w:val="1"/>
    </w:lvl>
  </w:abstractNum>
  <w:abstractNum w:abstractNumId="15">
    <w:nsid w:val="6A2342EC"/>
    <w:multiLevelType w:val="hybridMultilevel"/>
    <w:lvl w:ilvl="0">
      <w:lvlJc w:val="left"/>
      <w:lvlText w:val="%1."/>
      <w:numFmt w:val="decimal"/>
      <w:start w:val="10"/>
    </w:lvl>
  </w:abstractNum>
  <w:abstractNum w:abstractNumId="16">
    <w:nsid w:val="2A487CB0"/>
    <w:multiLevelType w:val="hybridMultilevel"/>
    <w:lvl w:ilvl="0">
      <w:lvlJc w:val="left"/>
      <w:lvlText w:val="%1."/>
      <w:numFmt w:val="decimal"/>
      <w:start w:val="11"/>
    </w:lvl>
  </w:abstractNum>
  <w:abstractNum w:abstractNumId="17">
    <w:nsid w:val="1D4ED43B"/>
    <w:multiLevelType w:val="hybridMultilevel"/>
    <w:lvl w:ilvl="0">
      <w:lvlJc w:val="left"/>
      <w:lvlText w:val="%1."/>
      <w:numFmt w:val="decimal"/>
      <w:start w:val="12"/>
    </w:lvl>
  </w:abstractNum>
  <w:abstractNum w:abstractNumId="18">
    <w:nsid w:val="725A06FB"/>
    <w:multiLevelType w:val="hybridMultilevel"/>
    <w:lvl w:ilvl="0">
      <w:lvlJc w:val="left"/>
      <w:lvlText w:val="%1."/>
      <w:numFmt w:val="decimal"/>
      <w:start w:val="13"/>
    </w:lvl>
  </w:abstractNum>
  <w:abstractNum w:abstractNumId="19">
    <w:nsid w:val="2CD89A32"/>
    <w:multiLevelType w:val="hybridMultilevel"/>
    <w:lvl w:ilvl="0">
      <w:lvlJc w:val="left"/>
      <w:lvlText w:val="%1."/>
      <w:numFmt w:val="decimal"/>
      <w:start w:val="14"/>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1"/>
    </w:lvl>
    <w:lvl w:ilvl="1">
      <w:lvlJc w:val="left"/>
      <w:lvlText w:val="(%2)"/>
      <w:numFmt w:val="upperLetter"/>
      <w:start w:val="1"/>
    </w:lvl>
  </w:abstractNum>
  <w:abstractNum w:abstractNumId="44">
    <w:nsid w:val="1CF10FD8"/>
    <w:multiLevelType w:val="hybridMultilevel"/>
    <w:lvl w:ilvl="0">
      <w:lvlJc w:val="left"/>
      <w:lvlText w:val="%1"/>
      <w:numFmt w:val="decimal"/>
      <w:start w:val="1"/>
    </w:lvl>
    <w:lvl w:ilvl="1">
      <w:lvlJc w:val="left"/>
      <w:lvlText w:val="(%2)"/>
      <w:numFmt w:val="lowerRoman"/>
      <w:start w:val="4"/>
    </w:lvl>
  </w:abstractNum>
  <w:abstractNum w:abstractNumId="45">
    <w:nsid w:val="180115BE"/>
    <w:multiLevelType w:val="hybridMultilevel"/>
    <w:lvl w:ilvl="0">
      <w:lvlJc w:val="left"/>
      <w:lvlText w:val="%1."/>
      <w:numFmt w:val="decimal"/>
      <w:start w:val="2"/>
    </w:lvl>
    <w:lvl w:ilvl="1">
      <w:lvlJc w:val="left"/>
      <w:lvlText w:val="%2"/>
      <w:numFmt w:val="lowerRoman"/>
      <w:start w:val="1"/>
    </w:lvl>
  </w:abstractNum>
  <w:abstractNum w:abstractNumId="46">
    <w:nsid w:val="235BA861"/>
    <w:multiLevelType w:val="hybridMultilevel"/>
    <w:lvl w:ilvl="0">
      <w:lvlJc w:val="left"/>
      <w:lvlText w:val="%1."/>
      <w:numFmt w:val="decimal"/>
      <w:start w:val="3"/>
    </w:lvl>
    <w:lvl w:ilvl="1">
      <w:lvlJc w:val="left"/>
      <w:lvlText w:val="(%2)"/>
      <w:numFmt w:val="upperLetter"/>
      <w:start w:val="1"/>
    </w:lvl>
  </w:abstractNum>
  <w:abstractNum w:abstractNumId="47">
    <w:nsid w:val="47398C89"/>
    <w:multiLevelType w:val="hybridMultilevel"/>
    <w:lvl w:ilvl="0">
      <w:lvlJc w:val="left"/>
      <w:lvlText w:val="(%1)"/>
      <w:numFmt w:val="upperLetter"/>
      <w:start w:val="4"/>
    </w:lvl>
  </w:abstractNum>
  <w:abstractNum w:abstractNumId="48">
    <w:nsid w:val="354FE9F9"/>
    <w:multiLevelType w:val="hybridMultilevel"/>
    <w:lvl w:ilvl="0">
      <w:lvlJc w:val="left"/>
      <w:lvlText w:val="%1."/>
      <w:numFmt w:val="decimal"/>
      <w:start w:val="4"/>
    </w:lvl>
  </w:abstractNum>
  <w:abstractNum w:abstractNumId="49">
    <w:nsid w:val="15B5AF5C"/>
    <w:multiLevelType w:val="hybridMultilevel"/>
    <w:lvl w:ilvl="0">
      <w:lvlJc w:val="left"/>
      <w:lvlText w:val="%1."/>
      <w:numFmt w:val="decimal"/>
      <w:start w:val="7"/>
    </w:lvl>
  </w:abstractNum>
  <w:abstractNum w:abstractNumId="50">
    <w:nsid w:val="741226BB"/>
    <w:multiLevelType w:val="hybridMultilevel"/>
    <w:lvl w:ilvl="0">
      <w:lvlJc w:val="left"/>
      <w:lvlText w:val="%1."/>
      <w:numFmt w:val="decimal"/>
      <w:start w:val="14"/>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3"/>
    </w:lvl>
  </w:abstractNum>
  <w:abstractNum w:abstractNumId="53">
    <w:nsid w:val="3F6AB60F"/>
    <w:multiLevelType w:val="hybridMultilevel"/>
    <w:lvl w:ilvl="0">
      <w:lvlJc w:val="left"/>
      <w:lvlText w:val="%1."/>
      <w:numFmt w:val="decimal"/>
      <w:start w:val="4"/>
    </w:lvl>
  </w:abstractNum>
  <w:abstractNum w:abstractNumId="54">
    <w:nsid w:val="61574095"/>
    <w:multiLevelType w:val="hybridMultilevel"/>
    <w:lvl w:ilvl="0">
      <w:lvlJc w:val="left"/>
      <w:lvlText w:val="%1."/>
      <w:numFmt w:val="decimal"/>
      <w:start w:val="6"/>
    </w:lvl>
  </w:abstractNum>
  <w:abstractNum w:abstractNumId="55">
    <w:nsid w:val="7E0C57B1"/>
    <w:multiLevelType w:val="hybridMultilevel"/>
    <w:lvl w:ilvl="0">
      <w:lvlJc w:val="left"/>
      <w:lvlText w:val="%1."/>
      <w:numFmt w:val="decimal"/>
      <w:start w:val="1"/>
    </w:lvl>
    <w:lvl w:ilvl="1">
      <w:lvlJc w:val="left"/>
      <w:lvlText w:val="(%2)"/>
      <w:numFmt w:val="upperLetter"/>
      <w:start w:val="1"/>
    </w:lvl>
  </w:abstractNum>
  <w:abstractNum w:abstractNumId="56">
    <w:nsid w:val="77AE35EB"/>
    <w:multiLevelType w:val="hybridMultilevel"/>
    <w:lvl w:ilvl="0">
      <w:lvlJc w:val="left"/>
      <w:lvlText w:val="%1"/>
      <w:numFmt w:val="decimal"/>
      <w:start w:val="1"/>
    </w:lvl>
    <w:lvl w:ilvl="1">
      <w:lvlJc w:val="left"/>
      <w:lvlText w:val="(%2)"/>
      <w:numFmt w:val="lowerRoman"/>
      <w:start w:val="4"/>
    </w:lvl>
  </w:abstractNum>
  <w:abstractNum w:abstractNumId="57">
    <w:nsid w:val="579BE4F1"/>
    <w:multiLevelType w:val="hybridMultilevel"/>
    <w:lvl w:ilvl="0">
      <w:lvlJc w:val="left"/>
      <w:lvlText w:val="%1."/>
      <w:numFmt w:val="decimal"/>
      <w:start w:val="2"/>
    </w:lvl>
    <w:lvl w:ilvl="1">
      <w:lvlJc w:val="left"/>
      <w:lvlText w:val="%2"/>
      <w:numFmt w:val="lowerRoman"/>
      <w:start w:val="1"/>
    </w:lvl>
  </w:abstractNum>
  <w:abstractNum w:abstractNumId="58">
    <w:nsid w:val="310C50B3"/>
    <w:multiLevelType w:val="hybridMultilevel"/>
    <w:lvl w:ilvl="0">
      <w:lvlJc w:val="left"/>
      <w:lvlText w:val="%1."/>
      <w:numFmt w:val="decimal"/>
      <w:start w:val="3"/>
    </w:lvl>
    <w:lvl w:ilvl="1">
      <w:lvlJc w:val="left"/>
      <w:lvlText w:val="(%2)"/>
      <w:numFmt w:val="upperLetter"/>
      <w:start w:val="1"/>
    </w:lvl>
  </w:abstractNum>
  <w:abstractNum w:abstractNumId="59">
    <w:nsid w:val="5FF87E05"/>
    <w:multiLevelType w:val="hybridMultilevel"/>
    <w:lvl w:ilvl="0">
      <w:lvlJc w:val="left"/>
      <w:lvlText w:val="(%1)"/>
      <w:numFmt w:val="upperLetter"/>
      <w:start w:val="4"/>
    </w:lvl>
  </w:abstractNum>
  <w:abstractNum w:abstractNumId="60">
    <w:nsid w:val="2F305DEF"/>
    <w:multiLevelType w:val="hybridMultilevel"/>
    <w:lvl w:ilvl="0">
      <w:lvlJc w:val="left"/>
      <w:lvlText w:val="%1."/>
      <w:numFmt w:val="decimal"/>
      <w:start w:val="4"/>
    </w:lvl>
  </w:abstractNum>
  <w:abstractNum w:abstractNumId="61">
    <w:nsid w:val="25A70BF7"/>
    <w:multiLevelType w:val="hybridMultilevel"/>
    <w:lvl w:ilvl="0">
      <w:lvlJc w:val="left"/>
      <w:lvlText w:val="%1."/>
      <w:numFmt w:val="decimal"/>
      <w:start w:val="7"/>
    </w:lvl>
  </w:abstractNum>
  <w:abstractNum w:abstractNumId="62">
    <w:nsid w:val="1DBABF00"/>
    <w:multiLevelType w:val="hybridMultilevel"/>
    <w:lvl w:ilvl="0">
      <w:lvlJc w:val="left"/>
      <w:lvlText w:val="%1."/>
      <w:numFmt w:val="decimal"/>
      <w:start w:val="14"/>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3"/>
    </w:lvl>
  </w:abstractNum>
  <w:abstractNum w:abstractNumId="65">
    <w:nsid w:val="1381823A"/>
    <w:multiLevelType w:val="hybridMultilevel"/>
    <w:lvl w:ilvl="0">
      <w:lvlJc w:val="left"/>
      <w:lvlText w:val="%1."/>
      <w:numFmt w:val="decimal"/>
      <w:start w:val="4"/>
    </w:lvl>
  </w:abstractNum>
  <w:abstractNum w:abstractNumId="66">
    <w:nsid w:val="5DB70AE5"/>
    <w:multiLevelType w:val="hybridMultilevel"/>
    <w:lvl w:ilvl="0">
      <w:lvlJc w:val="left"/>
      <w:lvlText w:val="%1."/>
      <w:numFmt w:val="decimal"/>
      <w:start w:val="6"/>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jpe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jpe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185" Type="http://schemas.openxmlformats.org/officeDocument/2006/relationships/hyperlink" Target="https://www.sec.gov/Archives/edgar/data/1107421/000095017023042486/tcrt-ex3_1.htm" TargetMode="External"/><Relationship Id="rId186" Type="http://schemas.openxmlformats.org/officeDocument/2006/relationships/hyperlink" Target="https://www.sec.gov/Archives/edgar/data/1107421/000119312520250711/d4203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2023-11-14T06:52:52Z</dcterms:created>
  <dcterms:modified xsi:type="dcterms:W3CDTF">2023-11-14T06:52:52Z</dcterms:modified>
</cp:coreProperties>
</file>