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22"/>
        </w:rPr>
      </w:pPr>
      <w:bookmarkStart w:id="0" w:name="tcrt-20260703.htm"/>
      <w:bookmarkStart w:id="1" w:name="kstcrt20260703"/>
      <w:bookmarkEnd w:id="0"/>
      <w:bookmarkEnd w:id="1"/>
      <w:r>
        <w:rPr>
          <w:rFonts w:ascii="Times New Roman" w:hAnsi="Times New Roman"/>
          <w:b/>
          <w:color w:val="000000"/>
          <w:sz w:val="22"/>
        </w:rPr>
        <w:t>As filed with the Securities and Exchange Commission on July 1, 2026</w:t>
      </w:r>
    </w:p>
    <w:p>
      <w:pPr>
        <w:pStyle w:val="TextBody"/>
        <w:bidi w:val="0"/>
        <w:jc w:val="right"/>
        <w:rPr/>
      </w:pPr>
      <w:r>
        <w:rPr/>
        <w:t> </w:t>
      </w:r>
    </w:p>
    <w:p>
      <w:pPr>
        <w:pStyle w:val="TextBody"/>
        <w:bidi w:val="0"/>
        <w:jc w:val="right"/>
        <w:rPr>
          <w:rFonts w:ascii="Times New Roman" w:hAnsi="Times New Roman"/>
          <w:b/>
          <w:color w:val="000000"/>
          <w:sz w:val="22"/>
        </w:rPr>
      </w:pPr>
      <w:r>
        <w:rPr>
          <w:rFonts w:ascii="Times New Roman" w:hAnsi="Times New Roman"/>
          <w:b/>
          <w:color w:val="000000"/>
          <w:sz w:val="22"/>
        </w:rPr>
        <w:t>Registration No. 333-</w:t>
      </w:r>
    </w:p>
    <w:p>
      <w:pPr>
        <w:pStyle w:val="TextBody"/>
        <w:bidi w:val="0"/>
        <w:jc w:val="center"/>
        <w:rPr>
          <w:rFonts w:ascii="Times New Roman" w:hAnsi="Times New Roman"/>
          <w:b/>
          <w:color w:val="000000"/>
          <w:sz w:val="22"/>
        </w:rPr>
      </w:pPr>
      <w:r>
        <w:rPr>
          <w:rFonts w:ascii="Times New Roman" w:hAnsi="Times New Roman"/>
          <w:b/>
          <w:color w:val="000000"/>
          <w:sz w:val="22"/>
        </w:rPr>
        <w:t>UNITED STATES</w:t>
      </w:r>
    </w:p>
    <w:p>
      <w:pPr>
        <w:pStyle w:val="TextBody"/>
        <w:bidi w:val="0"/>
        <w:jc w:val="center"/>
        <w:rPr>
          <w:rFonts w:ascii="Times New Roman" w:hAnsi="Times New Roman"/>
          <w:b/>
          <w:color w:val="000000"/>
          <w:sz w:val="22"/>
        </w:rPr>
      </w:pPr>
      <w:r>
        <w:rPr>
          <w:rFonts w:ascii="Times New Roman" w:hAnsi="Times New Roman"/>
          <w:b/>
          <w:color w:val="000000"/>
          <w:sz w:val="22"/>
        </w:rPr>
        <w:t>SECURITIES AND EXCHANGE COMMISSION</w:t>
      </w:r>
    </w:p>
    <w:p>
      <w:pPr>
        <w:pStyle w:val="TextBody"/>
        <w:bidi w:val="0"/>
        <w:jc w:val="center"/>
        <w:rPr>
          <w:rFonts w:ascii="Times New Roman" w:hAnsi="Times New Roman"/>
          <w:b/>
          <w:color w:val="000000"/>
          <w:sz w:val="22"/>
        </w:rPr>
      </w:pPr>
      <w:r>
        <w:rPr>
          <w:rFonts w:ascii="Times New Roman" w:hAnsi="Times New Roman"/>
          <w:b/>
          <w:color w:val="000000"/>
          <w:sz w:val="22"/>
        </w:rPr>
        <w:t>Washington, D.C. 20549</w:t>
      </w:r>
    </w:p>
    <w:p>
      <w:pPr>
        <w:pStyle w:val="TextBody"/>
        <w:bidi w:val="0"/>
        <w:jc w:val="center"/>
        <w:rPr>
          <w:rFonts w:ascii="Times New Roman" w:hAnsi="Times New Roman"/>
          <w:b/>
          <w:color w:val="000000"/>
          <w:sz w:val="22"/>
        </w:rPr>
      </w:pPr>
      <w:r>
        <w:rPr>
          <w:rFonts w:ascii="Times New Roman" w:hAnsi="Times New Roman"/>
          <w:b/>
          <w:color w:val="000000"/>
          <w:sz w:val="22"/>
        </w:rPr>
        <w:t>Form S-8</w:t>
      </w:r>
    </w:p>
    <w:p>
      <w:pPr>
        <w:pStyle w:val="TextBody"/>
        <w:bidi w:val="0"/>
        <w:jc w:val="center"/>
        <w:rPr>
          <w:rFonts w:ascii="Times New Roman" w:hAnsi="Times New Roman"/>
          <w:b/>
          <w:color w:val="000000"/>
          <w:sz w:val="22"/>
        </w:rPr>
      </w:pPr>
      <w:r>
        <w:rPr>
          <w:rFonts w:ascii="Times New Roman" w:hAnsi="Times New Roman"/>
          <w:b/>
          <w:color w:val="000000"/>
          <w:sz w:val="22"/>
        </w:rPr>
        <w:t>REGISTRATION STATEMENT</w:t>
      </w:r>
    </w:p>
    <w:p>
      <w:pPr>
        <w:pStyle w:val="TextBody"/>
        <w:bidi w:val="0"/>
        <w:jc w:val="center"/>
        <w:rPr>
          <w:rFonts w:ascii="Times New Roman" w:hAnsi="Times New Roman"/>
          <w:b/>
          <w:i/>
          <w:color w:val="000000"/>
          <w:sz w:val="22"/>
        </w:rPr>
      </w:pPr>
      <w:r>
        <w:rPr>
          <w:rFonts w:ascii="Times New Roman" w:hAnsi="Times New Roman"/>
          <w:b/>
          <w:i/>
          <w:color w:val="000000"/>
          <w:sz w:val="22"/>
        </w:rPr>
        <w:t>UNDER</w:t>
      </w:r>
    </w:p>
    <w:p>
      <w:pPr>
        <w:pStyle w:val="TextBody"/>
        <w:bidi w:val="0"/>
        <w:jc w:val="center"/>
        <w:rPr>
          <w:rFonts w:ascii="Times New Roman" w:hAnsi="Times New Roman"/>
          <w:b/>
          <w:i/>
          <w:color w:val="000000"/>
          <w:sz w:val="22"/>
        </w:rPr>
      </w:pPr>
      <w:r>
        <w:rPr>
          <w:rFonts w:ascii="Times New Roman" w:hAnsi="Times New Roman"/>
          <w:b/>
          <w:i/>
          <w:color w:val="000000"/>
          <w:sz w:val="22"/>
        </w:rPr>
        <w:t>THE SECURITIES ACT OF 1933</w:t>
      </w:r>
    </w:p>
    <w:p>
      <w:pPr>
        <w:pStyle w:val="TextBody"/>
        <w:bidi w:val="0"/>
        <w:jc w:val="center"/>
        <w:rPr>
          <w:rFonts w:ascii="Times New Roman" w:hAnsi="Times New Roman"/>
          <w:b/>
          <w:color w:val="000000"/>
          <w:sz w:val="22"/>
        </w:rPr>
      </w:pPr>
      <w:r>
        <w:rPr>
          <w:rFonts w:ascii="Times New Roman" w:hAnsi="Times New Roman"/>
          <w:b/>
          <w:color w:val="000000"/>
          <w:sz w:val="22"/>
        </w:rPr>
        <w:t>Alaunos Therapeutics, Inc.</w:t>
      </w:r>
    </w:p>
    <w:p>
      <w:pPr>
        <w:pStyle w:val="TextBody"/>
        <w:bidi w:val="0"/>
        <w:jc w:val="center"/>
        <w:rPr>
          <w:rFonts w:ascii="Times New Roman" w:hAnsi="Times New Roman"/>
          <w:b/>
          <w:color w:val="000000"/>
          <w:sz w:val="22"/>
        </w:rPr>
      </w:pPr>
      <w:r>
        <w:rPr>
          <w:rFonts w:ascii="Times New Roman" w:hAnsi="Times New Roman"/>
          <w:b/>
          <w:color w:val="000000"/>
          <w:sz w:val="22"/>
        </w:rPr>
        <w:t>(Exact name of registrant as specified in its charter)</w:t>
      </w:r>
    </w:p>
    <w:p>
      <w:pPr>
        <w:pStyle w:val="TextBody"/>
        <w:bidi w:val="0"/>
        <w:jc w:val="center"/>
        <w:rPr/>
      </w:pPr>
      <w:r>
        <w:rPr/>
        <w:t> </w:t>
      </w:r>
    </w:p>
    <w:tbl>
      <w:tblPr>
        <w:tblW w:w="5998" w:type="dxa"/>
        <w:jc w:val="left"/>
        <w:tblInd w:w="0" w:type="dxa"/>
        <w:tblLayout w:type="fixed"/>
        <w:tblCellMar>
          <w:top w:w="28" w:type="dxa"/>
          <w:left w:w="28" w:type="dxa"/>
          <w:bottom w:w="28" w:type="dxa"/>
          <w:right w:w="28" w:type="dxa"/>
        </w:tblCellMar>
      </w:tblPr>
      <w:tblGrid>
        <w:gridCol w:w="3916"/>
        <w:gridCol w:w="146"/>
        <w:gridCol w:w="1936"/>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Delaware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84-1475642</w:t>
            </w:r>
          </w:p>
        </w:tc>
      </w:tr>
      <w:tr>
        <w:trPr/>
        <w:tc>
          <w:tcPr>
            <w:tcW w:w="391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2"/>
              </w:rPr>
            </w:pPr>
            <w:r>
              <w:rPr>
                <w:rFonts w:ascii="Times New Roman" w:hAnsi="Times New Roman"/>
                <w:b/>
                <w:color w:val="000000"/>
                <w:sz w:val="22"/>
              </w:rPr>
              <w:t>(State or other jurisdiction of</w:t>
            </w:r>
          </w:p>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incorporation or organization)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2"/>
              </w:rPr>
            </w:pPr>
            <w:r>
              <w:rPr>
                <w:rFonts w:ascii="Times New Roman" w:hAnsi="Times New Roman"/>
                <w:b/>
                <w:color w:val="000000"/>
                <w:sz w:val="22"/>
              </w:rPr>
              <w:t>(I.R.S. Employer</w:t>
            </w:r>
          </w:p>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Identification No.)</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sz w:val="22"/>
              </w:rPr>
            </w:pPr>
            <w:r>
              <w:rPr>
                <w:rFonts w:ascii="Times New Roman" w:hAnsi="Times New Roman"/>
                <w:b/>
                <w:color w:val="000000"/>
                <w:sz w:val="22"/>
              </w:rPr>
              <w:t>501 E. Las Olas Blvd.,</w:t>
            </w:r>
            <w:r>
              <w:rPr>
                <w:rFonts w:ascii="Times New Roman" w:hAnsi="Times New Roman"/>
                <w:color w:val="000000"/>
                <w:sz w:val="22"/>
              </w:rPr>
              <w:t xml:space="preserve"> </w:t>
            </w:r>
          </w:p>
          <w:p>
            <w:pPr>
              <w:pStyle w:val="TableContents"/>
              <w:bidi w:val="0"/>
              <w:jc w:val="center"/>
              <w:rPr>
                <w:rFonts w:ascii="Times New Roman" w:hAnsi="Times New Roman"/>
                <w:b/>
                <w:color w:val="000000"/>
                <w:sz w:val="22"/>
              </w:rPr>
            </w:pPr>
            <w:r>
              <w:rPr>
                <w:rFonts w:ascii="Times New Roman" w:hAnsi="Times New Roman"/>
                <w:b/>
                <w:color w:val="000000"/>
                <w:sz w:val="22"/>
              </w:rPr>
              <w:t>Suite 300</w:t>
            </w:r>
          </w:p>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Fort Lauderdale, FL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33301</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(Address of principal executive offices)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(Zip Code)</w:t>
            </w:r>
          </w:p>
        </w:tc>
      </w:tr>
    </w:tbl>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Alaunos Therapeutics, Inc. 2020 Equity Incentive Plan</w:t>
      </w:r>
    </w:p>
    <w:p>
      <w:pPr>
        <w:pStyle w:val="TextBody"/>
        <w:bidi w:val="0"/>
        <w:jc w:val="center"/>
        <w:rPr>
          <w:rFonts w:ascii="Times New Roman" w:hAnsi="Times New Roman"/>
          <w:b/>
          <w:color w:val="000000"/>
          <w:sz w:val="22"/>
        </w:rPr>
      </w:pPr>
      <w:r>
        <w:rPr>
          <w:rFonts w:ascii="Times New Roman" w:hAnsi="Times New Roman"/>
          <w:b/>
          <w:color w:val="000000"/>
          <w:sz w:val="22"/>
        </w:rPr>
        <w:t>(Full title of the plan)</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Holger Weis</w:t>
      </w:r>
    </w:p>
    <w:p>
      <w:pPr>
        <w:pStyle w:val="TextBody"/>
        <w:bidi w:val="0"/>
        <w:jc w:val="center"/>
        <w:rPr>
          <w:rFonts w:ascii="Times New Roman" w:hAnsi="Times New Roman"/>
          <w:b/>
          <w:color w:val="000000"/>
          <w:sz w:val="22"/>
        </w:rPr>
      </w:pPr>
      <w:r>
        <w:rPr>
          <w:rFonts w:ascii="Times New Roman" w:hAnsi="Times New Roman"/>
          <w:b/>
          <w:color w:val="000000"/>
          <w:sz w:val="22"/>
        </w:rPr>
        <w:t>Chief Executive Officer</w:t>
      </w:r>
    </w:p>
    <w:p>
      <w:pPr>
        <w:pStyle w:val="TextBody"/>
        <w:bidi w:val="0"/>
        <w:jc w:val="center"/>
        <w:rPr>
          <w:rFonts w:ascii="Times New Roman" w:hAnsi="Times New Roman"/>
          <w:b/>
          <w:color w:val="000000"/>
          <w:sz w:val="22"/>
        </w:rPr>
      </w:pPr>
      <w:r>
        <w:rPr>
          <w:rFonts w:ascii="Times New Roman" w:hAnsi="Times New Roman"/>
          <w:b/>
          <w:color w:val="000000"/>
          <w:sz w:val="22"/>
        </w:rPr>
        <w:t>Alaunos Therapeutics, Inc.</w:t>
      </w:r>
    </w:p>
    <w:p>
      <w:pPr>
        <w:pStyle w:val="TextBody"/>
        <w:bidi w:val="0"/>
        <w:jc w:val="center"/>
        <w:rPr>
          <w:rFonts w:ascii="Times New Roman" w:hAnsi="Times New Roman"/>
          <w:b/>
          <w:color w:val="000000"/>
          <w:sz w:val="22"/>
        </w:rPr>
      </w:pPr>
      <w:r>
        <w:rPr>
          <w:rFonts w:ascii="Times New Roman" w:hAnsi="Times New Roman"/>
          <w:b/>
          <w:color w:val="000000"/>
          <w:sz w:val="22"/>
        </w:rPr>
        <w:t>501 E. Las Olas Blvd., Suite 300</w:t>
      </w:r>
    </w:p>
    <w:p>
      <w:pPr>
        <w:pStyle w:val="TextBody"/>
        <w:bidi w:val="0"/>
        <w:jc w:val="center"/>
        <w:rPr>
          <w:rFonts w:ascii="Times New Roman" w:hAnsi="Times New Roman"/>
          <w:sz w:val="20"/>
        </w:rPr>
      </w:pPr>
      <w:r>
        <w:rPr>
          <w:rFonts w:ascii="Times New Roman" w:hAnsi="Times New Roman"/>
          <w:b/>
          <w:color w:val="000000"/>
          <w:sz w:val="22"/>
        </w:rPr>
        <w:t>Fort Lauderdale, FL 33301</w:t>
      </w:r>
      <w:r>
        <w:rPr>
          <w:rFonts w:ascii="Times New Roman" w:hAnsi="Times New Roman"/>
          <w:color w:val="000000"/>
          <w:sz w:val="20"/>
        </w:rPr>
        <w:t xml:space="preserve"> </w:t>
      </w:r>
    </w:p>
    <w:p>
      <w:pPr>
        <w:pStyle w:val="TextBody"/>
        <w:bidi w:val="0"/>
        <w:jc w:val="center"/>
        <w:rPr>
          <w:rFonts w:ascii="Times New Roman" w:hAnsi="Times New Roman"/>
          <w:b/>
          <w:color w:val="000000"/>
          <w:sz w:val="22"/>
        </w:rPr>
      </w:pPr>
      <w:r>
        <w:rPr>
          <w:rFonts w:ascii="Times New Roman" w:hAnsi="Times New Roman"/>
          <w:b/>
          <w:color w:val="000000"/>
          <w:sz w:val="22"/>
        </w:rPr>
        <w:t>(346) 355-4099</w:t>
      </w:r>
    </w:p>
    <w:p>
      <w:pPr>
        <w:pStyle w:val="TextBody"/>
        <w:bidi w:val="0"/>
        <w:jc w:val="center"/>
        <w:rPr>
          <w:rFonts w:ascii="Times New Roman" w:hAnsi="Times New Roman"/>
          <w:b/>
          <w:color w:val="000000"/>
          <w:sz w:val="22"/>
        </w:rPr>
      </w:pPr>
      <w:r>
        <w:rPr>
          <w:rFonts w:ascii="Times New Roman" w:hAnsi="Times New Roman"/>
          <w:b/>
          <w:color w:val="000000"/>
          <w:sz w:val="22"/>
        </w:rPr>
        <w:t>(Name, address and telephone number of agent for service)</w:t>
      </w:r>
    </w:p>
    <w:p>
      <w:pPr>
        <w:pStyle w:val="TextBody"/>
        <w:bidi w:val="0"/>
        <w:jc w:val="center"/>
        <w:rPr/>
      </w:pPr>
      <w:r>
        <w:rPr/>
        <w:t> </w:t>
      </w:r>
    </w:p>
    <w:p>
      <w:pPr>
        <w:pStyle w:val="TextBody"/>
        <w:bidi w:val="0"/>
        <w:jc w:val="center"/>
        <w:rPr/>
      </w:pPr>
      <w:r>
        <w:rPr/>
        <w:t> </w:t>
      </w:r>
    </w:p>
    <w:p>
      <w:pPr>
        <w:pStyle w:val="TextBody"/>
        <w:bidi w:val="0"/>
        <w:jc w:val="both"/>
        <w:rPr>
          <w:rFonts w:ascii="Times New Roman" w:hAnsi="Times New Roman"/>
          <w:color w:val="000000"/>
          <w:sz w:val="22"/>
        </w:rPr>
      </w:pPr>
      <w:r>
        <w:rPr>
          <w:rFonts w:ascii="Times New Roman" w:hAnsi="Times New Roman"/>
          <w:color w:val="000000"/>
          <w:sz w:val="22"/>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037" w:type="dxa"/>
        <w:jc w:val="left"/>
        <w:tblInd w:w="0" w:type="dxa"/>
        <w:tblLayout w:type="fixed"/>
        <w:tblCellMar>
          <w:top w:w="28" w:type="dxa"/>
          <w:left w:w="28" w:type="dxa"/>
          <w:bottom w:w="28" w:type="dxa"/>
          <w:right w:w="28" w:type="dxa"/>
        </w:tblCellMar>
      </w:tblPr>
      <w:tblGrid>
        <w:gridCol w:w="2266"/>
        <w:gridCol w:w="146"/>
        <w:gridCol w:w="316"/>
        <w:gridCol w:w="146"/>
        <w:gridCol w:w="2656"/>
        <w:gridCol w:w="146"/>
        <w:gridCol w:w="36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5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Large Accelerated filer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Accelerated filer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802"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Non-accelerated filer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Smaller reporting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802"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bl>
    <w:p>
      <w:pPr>
        <w:pStyle w:val="HorizontalLine"/>
        <w:pBdr>
          <w:bottom w:val="double" w:sz="2" w:space="0" w:color="808080"/>
        </w:pBdr>
        <w:bidi w:val="0"/>
        <w:spacing w:before="0" w:after="283"/>
        <w:jc w:val="left"/>
        <w:rPr/>
      </w:pPr>
      <w:r>
        <w:rPr/>
      </w:r>
    </w:p>
    <w:tbl>
      <w:tblPr>
        <w:tblW w:w="3666" w:type="dxa"/>
        <w:jc w:val="left"/>
        <w:tblInd w:w="0" w:type="dxa"/>
        <w:tblLayout w:type="fixed"/>
        <w:tblCellMar>
          <w:top w:w="28" w:type="dxa"/>
          <w:left w:w="28" w:type="dxa"/>
          <w:bottom w:w="28" w:type="dxa"/>
          <w:right w:w="28" w:type="dxa"/>
        </w:tblCellMar>
      </w:tblPr>
      <w:tblGrid>
        <w:gridCol w:w="161"/>
        <w:gridCol w:w="109"/>
        <w:gridCol w:w="146"/>
        <w:gridCol w:w="109"/>
        <w:gridCol w:w="2671"/>
        <w:gridCol w:w="109"/>
        <w:gridCol w:w="36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Emerging growth company</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EXPLANATORY NOTE; INCORPORATION BY REFERENCE OF CONTENTS OF PRIOR REGISTRATION STATEMENT ON FORM S-8</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This Registration Statement is being filed by Alaunos Therapeutics, Inc. (the “Registrant”) for the purpose of registering additional securities of the same class as other securities for which registration statements on Form S-8 relating to the Alaunos Therapeutics, Inc. (formerly ZIOPHARM Oncology, Inc.) 2020 Equity Incentive Plan, as amended (the “2020 Plan”) are already effective.</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Pursuant to General Instruction E to Form S-8, the Registrant incorporates by reference into this Registration Statement the contents of the following prior registration statements on Form S-8 in their entirety, including all exhibits thereto:</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Registration Statement on Form S-8 (File No. 333-241698), filed with the Securities and Exchange Commission on August 6, 2020, relating to the registration of 5,750,000 shares (pre-split) of the Registrant’s common stock, par value $0.001 per share, authorized for issuance under the 2020 Plan (as adjusted for subsequent reverse stock splits);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2"/>
        </w:rPr>
      </w:pPr>
      <w:r>
        <w:rPr>
          <w:rFonts w:ascii="Times New Roman" w:hAnsi="Times New Roman"/>
          <w:color w:val="000000"/>
          <w:sz w:val="22"/>
        </w:rPr>
        <w:t>Registration Statement on Form S-8 (File No. 333-263983), filed with the Securities and Exchange Commission on March 30, 2022, relating to the registration of an additional 15,250,000 shares (pre-split) of the Registrant’s common stock authorized under the Plan (as adjusted for subsequent reverse stock splits).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This Registration Statement registers an additional 1,000,000 shares of common stock authorized for issuance under the 2020 Plan pursuant to the amendment approved by the Registrant’s stockholders on July 3, 2025. After giving effect to such amendment and all prior reverse stock splits (including the 1-for-15 reverse split and the 1-for-10 reverse stock split effective and January 31, 2024 and July 16, 2024), the 2020 Plan authorizes the issuance of up to 1,130,745 shares of common stock in the aggregate. As of the date of this Registration Statement, approximately 601,774 shares remain available for future issuance under the 2020 Plan (after accounting for prior grants, forfeitures, cancellations, and the effects of reverse stock splits).</w:t>
      </w:r>
    </w:p>
    <w:p>
      <w:pPr>
        <w:pStyle w:val="TextBody"/>
        <w:bidi w:val="0"/>
        <w:jc w:val="both"/>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PART II</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ITEM 3. Incorporation of Documents by Reference.</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following documents (File No. 001-33038) previously filed with the SEC are hereby incorporated by reference:</w:t>
      </w:r>
    </w:p>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shd w:fill="FFFFFF" w:val="clear"/>
            <w:tcMar>
              <w:top w:w="0" w:type="dxa"/>
              <w:left w:w="0" w:type="dxa"/>
              <w:bottom w:w="0" w:type="dxa"/>
              <w:right w:w="0" w:type="dxa"/>
            </w:tcMar>
            <w:vAlign w:val="center"/>
          </w:tcPr>
          <w:p>
            <w:pPr>
              <w:pStyle w:val="TableContents"/>
              <w:bidi w:val="0"/>
              <w:spacing w:before="0" w:after="283"/>
              <w:jc w:val="both"/>
              <w:rPr/>
            </w:pPr>
            <w:r>
              <w:rPr>
                <w:rFonts w:ascii="Times New Roman" w:hAnsi="Times New Roman"/>
                <w:color w:val="000000"/>
                <w:sz w:val="22"/>
              </w:rPr>
              <w:t xml:space="preserve">the registrant’s Annual Report on </w:t>
            </w:r>
            <w:hyperlink r:id="rId2">
              <w:r>
                <w:rPr>
                  <w:rStyle w:val="InternetLink"/>
                  <w:rFonts w:ascii="Times New Roman" w:hAnsi="Times New Roman"/>
                  <w:color w:val="000000"/>
                  <w:sz w:val="22"/>
                  <w:u w:val="single"/>
                </w:rPr>
                <w:t>Form 10-K</w:t>
              </w:r>
            </w:hyperlink>
            <w:r>
              <w:rPr>
                <w:rFonts w:ascii="Times New Roman" w:hAnsi="Times New Roman"/>
                <w:color w:val="000000"/>
                <w:sz w:val="22"/>
              </w:rPr>
              <w:t> for the year ended December 31, 2025, filed with the SEC on March 23, 2026 (the “2025 Annual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all other reports filed with the SEC pursuant to Section 13(a) or Section 15(d) of the Securities Exchange Act of 1934, as amended (the “Exchange Act”), since the end of the fiscal year covered by the Company’s 2025 Annual Report; and</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shd w:fill="FFFFFF" w:val="clear"/>
            <w:tcMar>
              <w:top w:w="0" w:type="dxa"/>
              <w:left w:w="0" w:type="dxa"/>
              <w:bottom w:w="0" w:type="dxa"/>
              <w:right w:w="0" w:type="dxa"/>
            </w:tcMar>
            <w:vAlign w:val="center"/>
          </w:tcPr>
          <w:p>
            <w:pPr>
              <w:pStyle w:val="TableContents"/>
              <w:bidi w:val="0"/>
              <w:spacing w:before="0" w:after="283"/>
              <w:jc w:val="both"/>
              <w:rPr/>
            </w:pPr>
            <w:r>
              <w:rPr>
                <w:rFonts w:ascii="Times New Roman" w:hAnsi="Times New Roman"/>
                <w:color w:val="000000"/>
                <w:sz w:val="22"/>
              </w:rPr>
              <w:t xml:space="preserve">the description of the Company’s Common Stock contained in </w:t>
            </w:r>
            <w:hyperlink r:id="rId3">
              <w:r>
                <w:rPr>
                  <w:rStyle w:val="InternetLink"/>
                  <w:rFonts w:ascii="Times New Roman" w:hAnsi="Times New Roman"/>
                  <w:color w:val="467886"/>
                  <w:sz w:val="22"/>
                  <w:u w:val="single"/>
                </w:rPr>
                <w:t>Exhibit 4.7</w:t>
              </w:r>
            </w:hyperlink>
            <w:hyperlink r:id="rId4">
              <w:r>
                <w:rPr>
                  <w:rStyle w:val="InternetLink"/>
                  <w:rFonts w:ascii="Times New Roman" w:hAnsi="Times New Roman"/>
                  <w:color w:val="467886"/>
                  <w:sz w:val="22"/>
                </w:rPr>
                <w:t xml:space="preserve"> </w:t>
              </w:r>
            </w:hyperlink>
            <w:r>
              <w:rPr>
                <w:rFonts w:ascii="Times New Roman" w:hAnsi="Times New Roman"/>
                <w:color w:val="000000"/>
                <w:sz w:val="22"/>
              </w:rPr>
              <w:t>to the 2025 Annual Report, including any amendments or reports filed for the purposes of updating this description.</w:t>
            </w:r>
          </w:p>
        </w:tc>
      </w:tr>
    </w:tbl>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All reports and other documents subsequently filed by us pursuant to Sections 13(a), 13(c), 14 and 15(d) of the Exchange Act, prior to the filing of a post-effective amendment which indicates that all securities registered have been sold or which deregisters all securities then remaining unsold, shall be deemed to be incorporated by reference into this Registration Statement and to be a part hereof from the date of filing of such documents, except as to specific sections of such statements as set forth therein.</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Unless expressly incorporated into this Registration Statement, a report furnished on Form 8-K (or any portion thereof so furnished) prior or subsequent to the date hereof shall not be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in any subsequently filed document which also is deemed to be incorporated by reference herein modifies or supersedes such statement.</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ITEM 6. Indemnification of Directors and Officers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Registrant is incorporated under the laws of the State of Delaware. Subsection (a) of Section 145 of the General Corporation Law of the State of Delaware (“DGCL”), empowers a corporation to indemnify any person who was or is a party or who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Subsection (b) of Section 145 of the DGCL empowers a corporation to indemnify any person who was or is a party or is threatened to be made a party to any threatened, pending or completed action or suit by or in the right of the corporation to procure a judgment in its favor by reason of the fact that the person acted in any of the capacities set forth above,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Section 145 of the DGCL further provides that to the extent a director or officer of a corporation has been successful on the merits or otherwise in the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 that indemnification provided for by Section 145 shall not be deemed exclusive of any other rights to which the indemnified party may be entitled; and the indemnification provided for by Section 145 shall, unless otherwise provided when authorized or ratified, continue as to a person who has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2"/>
        </w:rPr>
      </w:pPr>
      <w:r>
        <w:rPr>
          <w:rFonts w:ascii="Times New Roman" w:hAnsi="Times New Roman"/>
          <w:color w:val="000000"/>
          <w:sz w:val="22"/>
        </w:rPr>
        <w:t>ceased to be a director, officer, employee or agent and shall inure to the benefit of such person’s heirs, executors and administrators. Section 145 also empowers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status as such, whether or not the corporation would have the power to indemnify such person against such liabilities under Section 145.</w:t>
      </w:r>
    </w:p>
    <w:p>
      <w:pPr>
        <w:pStyle w:val="TextBody"/>
        <w:bidi w:val="0"/>
        <w:jc w:val="both"/>
        <w:rPr>
          <w:rFonts w:ascii="Times New Roman" w:hAnsi="Times New Roman"/>
          <w:color w:val="000000"/>
          <w:sz w:val="22"/>
        </w:rPr>
      </w:pPr>
      <w:r>
        <w:rPr>
          <w:rFonts w:ascii="Times New Roman" w:hAnsi="Times New Roman"/>
          <w:color w:val="000000"/>
          <w:sz w:val="22"/>
        </w:rPr>
        <w:t>Section 102(b)(7) of the DGCL provides that a corporation’s certificate of incorporation may contain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Registrant’s amended and restated certificate of incorporation provides for indemnification of the Registrant’s directors to the maximum extent permitted by applicable law, and the Registrant’s bylaws, as amended, provide for indemnification of the Registrant’s directors, officers, employees and other agents to the maximum extent permitted by law.</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Registrant has entered into indemnification agreements with the Registrant’s directors, whereby the Registrant has agreed to indemnify the Registrant’s directors to the fullest extent permitted by the DGCL, including advancement of expenses incurred in legal proceedings to which the director was, or is threatened to be made, a party by reason of the fact that (i) such director is or was a director of the Registrant, (ii) such director acted while a director, officer, employee or agent of the Registrant, or (iii) such director was serving at the request of the Registrant as a director, officer, employee or agent of another corporation, partnership, joint venture, trust, employee benefit plan or other enterprise. At present, there is no pending litigation or proceeding involving a director of the Registrant regarding which indemnification is sought, nor is the Registrant aware of any threatened litigation that may result in claims for indemnification.</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Registrant maintains a directors’ and officers’ liability insurance policy that indemnifies the Registrant’s directors and officers against various liabilities arising under the Securities Act and the Exchange Act that might be incurred by any director or officer in his capacity as such.</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ITEM 8. Exhibits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067"/>
        <w:gridCol w:w="9138"/>
      </w:tblGrid>
      <w:tr>
        <w:trPr/>
        <w:tc>
          <w:tcPr>
            <w:tcW w:w="1067" w:type="dxa"/>
            <w:tcBorders/>
            <w:vAlign w:val="center"/>
          </w:tcPr>
          <w:p>
            <w:pPr>
              <w:pStyle w:val="TableContents"/>
              <w:bidi w:val="0"/>
              <w:spacing w:before="0" w:after="283"/>
              <w:jc w:val="left"/>
              <w:rPr>
                <w:sz w:val="4"/>
                <w:szCs w:val="4"/>
              </w:rPr>
            </w:pPr>
            <w:r>
              <w:rPr>
                <w:sz w:val="4"/>
                <w:szCs w:val="4"/>
              </w:rPr>
            </w:r>
          </w:p>
        </w:tc>
        <w:tc>
          <w:tcPr>
            <w:tcW w:w="9138" w:type="dxa"/>
            <w:tcBorders/>
            <w:vAlign w:val="center"/>
          </w:tcPr>
          <w:p>
            <w:pPr>
              <w:pStyle w:val="TableContents"/>
              <w:bidi w:val="0"/>
              <w:spacing w:before="0" w:after="283"/>
              <w:jc w:val="left"/>
              <w:rPr>
                <w:sz w:val="4"/>
                <w:szCs w:val="4"/>
              </w:rPr>
            </w:pPr>
            <w:r>
              <w:rPr>
                <w:sz w:val="4"/>
                <w:szCs w:val="4"/>
              </w:rPr>
            </w:r>
          </w:p>
        </w:tc>
      </w:tr>
      <w:tr>
        <w:trPr/>
        <w:tc>
          <w:tcPr>
            <w:tcW w:w="106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Exhibit No.</w:t>
            </w:r>
          </w:p>
        </w:tc>
        <w:tc>
          <w:tcPr>
            <w:tcW w:w="913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Description</w:t>
            </w:r>
          </w:p>
        </w:tc>
      </w:tr>
      <w:tr>
        <w:trPr/>
        <w:tc>
          <w:tcPr>
            <w:tcW w:w="106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4.1</w:t>
            </w:r>
          </w:p>
        </w:tc>
        <w:tc>
          <w:tcPr>
            <w:tcW w:w="913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2020 Equity Incentive Plan, as amended (incorporated by reference to Exhibit 10.1 to the Registrant’s Current Report on Form 8-K filed June 29, 2020)</w:t>
            </w:r>
          </w:p>
        </w:tc>
      </w:tr>
      <w:tr>
        <w:trPr/>
        <w:tc>
          <w:tcPr>
            <w:tcW w:w="106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5.1</w:t>
            </w:r>
          </w:p>
        </w:tc>
        <w:tc>
          <w:tcPr>
            <w:tcW w:w="9138" w:type="dxa"/>
            <w:tcBorders/>
            <w:tcMar>
              <w:top w:w="0" w:type="dxa"/>
              <w:left w:w="0" w:type="dxa"/>
              <w:bottom w:w="0" w:type="dxa"/>
              <w:right w:w="0" w:type="dxa"/>
            </w:tcMar>
            <w:vAlign w:val="center"/>
          </w:tcPr>
          <w:p>
            <w:pPr>
              <w:pStyle w:val="TableContents"/>
              <w:bidi w:val="0"/>
              <w:spacing w:before="0" w:after="283"/>
              <w:jc w:val="both"/>
              <w:rPr/>
            </w:pPr>
            <w:hyperlink w:anchor="tcrt-ex5_1.htm">
              <w:r>
                <w:rPr>
                  <w:rStyle w:val="InternetLink"/>
                  <w:rFonts w:ascii="Times New Roman" w:hAnsi="Times New Roman"/>
                  <w:color w:val="0000FF"/>
                  <w:sz w:val="22"/>
                  <w:u w:val="single"/>
                </w:rPr>
                <w:t>Opinion of The Doney Law Firm as to the legality of the securities being registered</w:t>
              </w:r>
            </w:hyperlink>
          </w:p>
        </w:tc>
      </w:tr>
      <w:tr>
        <w:trPr/>
        <w:tc>
          <w:tcPr>
            <w:tcW w:w="106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23.1</w:t>
            </w:r>
          </w:p>
        </w:tc>
        <w:tc>
          <w:tcPr>
            <w:tcW w:w="9138" w:type="dxa"/>
            <w:tcBorders/>
            <w:tcMar>
              <w:top w:w="0" w:type="dxa"/>
              <w:left w:w="0" w:type="dxa"/>
              <w:bottom w:w="0" w:type="dxa"/>
              <w:right w:w="0" w:type="dxa"/>
            </w:tcMar>
            <w:vAlign w:val="center"/>
          </w:tcPr>
          <w:p>
            <w:pPr>
              <w:pStyle w:val="TableContents"/>
              <w:bidi w:val="0"/>
              <w:spacing w:before="0" w:after="283"/>
              <w:jc w:val="both"/>
              <w:rPr/>
            </w:pPr>
            <w:hyperlink w:anchor="tcrt-ex23_1.htm">
              <w:r>
                <w:rPr>
                  <w:rStyle w:val="InternetLink"/>
                  <w:rFonts w:ascii="Times New Roman" w:hAnsi="Times New Roman"/>
                  <w:color w:val="0000FF"/>
                  <w:sz w:val="22"/>
                  <w:u w:val="single"/>
                </w:rPr>
                <w:t>Consent of Cherry Bekaert LP</w:t>
              </w:r>
            </w:hyperlink>
          </w:p>
        </w:tc>
      </w:tr>
      <w:tr>
        <w:trPr/>
        <w:tc>
          <w:tcPr>
            <w:tcW w:w="106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23.2</w:t>
            </w:r>
          </w:p>
        </w:tc>
        <w:tc>
          <w:tcPr>
            <w:tcW w:w="913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Consent of The Doney Law Firm (included in Exhibit 5.1)</w:t>
            </w:r>
          </w:p>
        </w:tc>
      </w:tr>
      <w:tr>
        <w:trPr/>
        <w:tc>
          <w:tcPr>
            <w:tcW w:w="106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24.1</w:t>
            </w:r>
          </w:p>
        </w:tc>
        <w:tc>
          <w:tcPr>
            <w:tcW w:w="913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Power of Attorney (included on signature page hereof)</w:t>
            </w:r>
          </w:p>
        </w:tc>
      </w:tr>
      <w:tr>
        <w:trPr/>
        <w:tc>
          <w:tcPr>
            <w:tcW w:w="106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107*</w:t>
            </w:r>
          </w:p>
        </w:tc>
        <w:tc>
          <w:tcPr>
            <w:tcW w:w="9138" w:type="dxa"/>
            <w:tcBorders/>
            <w:tcMar>
              <w:top w:w="0" w:type="dxa"/>
              <w:left w:w="0" w:type="dxa"/>
              <w:bottom w:w="0" w:type="dxa"/>
              <w:right w:w="0" w:type="dxa"/>
            </w:tcMar>
            <w:vAlign w:val="center"/>
          </w:tcPr>
          <w:p>
            <w:pPr>
              <w:pStyle w:val="TableContents"/>
              <w:bidi w:val="0"/>
              <w:spacing w:before="0" w:after="283"/>
              <w:jc w:val="both"/>
              <w:rPr/>
            </w:pPr>
            <w:hyperlink w:anchor="tcrt-exfiling_fees.htm">
              <w:r>
                <w:rPr>
                  <w:rStyle w:val="InternetLink"/>
                  <w:rFonts w:ascii="Times New Roman" w:hAnsi="Times New Roman"/>
                  <w:color w:val="0000FF"/>
                  <w:sz w:val="22"/>
                  <w:u w:val="single"/>
                </w:rPr>
                <w:t>Filing Fee Table</w:t>
              </w:r>
            </w:hyperlink>
          </w:p>
        </w:tc>
      </w:tr>
      <w:tr>
        <w:trPr/>
        <w:tc>
          <w:tcPr>
            <w:tcW w:w="106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w:t>
            </w:r>
          </w:p>
        </w:tc>
        <w:tc>
          <w:tcPr>
            <w:tcW w:w="913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Filed herewith</w:t>
            </w:r>
          </w:p>
        </w:tc>
      </w:tr>
    </w:tbl>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SIGNATURES</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2"/>
        </w:rPr>
      </w:pPr>
      <w:r>
        <w:rPr>
          <w:rFonts w:ascii="Times New Roman" w:hAnsi="Times New Roman"/>
          <w:color w:val="000000"/>
          <w:sz w:val="22"/>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Ft. Lauderdale Florida, on July 1, 2026.</w:t>
      </w:r>
    </w:p>
    <w:p>
      <w:pPr>
        <w:pStyle w:val="TextBody"/>
        <w:bidi w:val="0"/>
        <w:jc w:val="both"/>
        <w:rPr/>
      </w:pPr>
      <w:r>
        <w:rPr/>
        <w:t> </w:t>
      </w:r>
    </w:p>
    <w:tbl>
      <w:tblPr>
        <w:tblW w:w="9673" w:type="dxa"/>
        <w:jc w:val="left"/>
        <w:tblInd w:w="0" w:type="dxa"/>
        <w:tblLayout w:type="fixed"/>
        <w:tblCellMar>
          <w:top w:w="28" w:type="dxa"/>
          <w:left w:w="28" w:type="dxa"/>
          <w:bottom w:w="28" w:type="dxa"/>
          <w:right w:w="28" w:type="dxa"/>
        </w:tblCellMar>
      </w:tblPr>
      <w:tblGrid>
        <w:gridCol w:w="3676"/>
        <w:gridCol w:w="146"/>
        <w:gridCol w:w="585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51"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5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ALAUNOS THERAPEUTICS,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997"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jc w:val="both"/>
              <w:rPr>
                <w:rFonts w:ascii="Times New Roman" w:hAnsi="Times New Roman"/>
                <w:color w:val="000000"/>
                <w:sz w:val="22"/>
              </w:rPr>
            </w:pPr>
            <w:r>
              <w:rPr>
                <w:rFonts w:ascii="Times New Roman" w:hAnsi="Times New Roman"/>
                <w:color w:val="000000"/>
                <w:sz w:val="22"/>
              </w:rPr>
              <w:t>/s/ Holger Weis</w:t>
            </w:r>
          </w:p>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Holger Weis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tcBorders/>
            <w:shd w:fill="FFFFFF" w:val="clear"/>
            <w:tcMar>
              <w:top w:w="0" w:type="dxa"/>
              <w:left w:w="0" w:type="dxa"/>
              <w:bottom w:w="0" w:type="dxa"/>
              <w:right w:w="0" w:type="dxa"/>
            </w:tcMar>
            <w:vAlign w:val="center"/>
          </w:tcPr>
          <w:p>
            <w:pPr>
              <w:pStyle w:val="TableContents"/>
              <w:bidi w:val="0"/>
              <w:jc w:val="both"/>
              <w:rPr>
                <w:rFonts w:ascii="Times New Roman" w:hAnsi="Times New Roman"/>
                <w:color w:val="000000"/>
                <w:sz w:val="22"/>
              </w:rPr>
            </w:pPr>
            <w:r>
              <w:rPr>
                <w:rFonts w:ascii="Times New Roman" w:hAnsi="Times New Roman"/>
                <w:color w:val="000000"/>
                <w:sz w:val="22"/>
              </w:rPr>
              <w:t>Chief Executive Officer and Director</w:t>
            </w:r>
          </w:p>
          <w:p>
            <w:pPr>
              <w:pStyle w:val="TableContents"/>
              <w:bidi w:val="0"/>
              <w:spacing w:before="0" w:after="283"/>
              <w:jc w:val="both"/>
              <w:rPr>
                <w:rFonts w:ascii="Times New Roman" w:hAnsi="Times New Roman"/>
                <w:i/>
                <w:color w:val="000000"/>
                <w:sz w:val="22"/>
              </w:rPr>
            </w:pPr>
            <w:r>
              <w:rPr>
                <w:rFonts w:ascii="Times New Roman" w:hAnsi="Times New Roman"/>
                <w:i/>
                <w:color w:val="000000"/>
                <w:sz w:val="22"/>
              </w:rPr>
              <w:t>(Principal Executive Officer and Principal Financial Officer)</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997"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jc w:val="both"/>
              <w:rPr>
                <w:rFonts w:ascii="Times New Roman" w:hAnsi="Times New Roman"/>
                <w:color w:val="000000"/>
                <w:sz w:val="22"/>
              </w:rPr>
            </w:pPr>
            <w:r>
              <w:rPr>
                <w:rFonts w:ascii="Times New Roman" w:hAnsi="Times New Roman"/>
                <w:color w:val="000000"/>
                <w:sz w:val="22"/>
              </w:rPr>
              <w:t>/s/ Ferdinand Groenewald</w:t>
            </w:r>
          </w:p>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Ferdinand Groenewald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tcBorders/>
            <w:shd w:fill="FFFFFF" w:val="clear"/>
            <w:tcMar>
              <w:top w:w="0" w:type="dxa"/>
              <w:left w:w="0" w:type="dxa"/>
              <w:bottom w:w="0" w:type="dxa"/>
              <w:right w:w="0" w:type="dxa"/>
            </w:tcMar>
            <w:vAlign w:val="center"/>
          </w:tcPr>
          <w:p>
            <w:pPr>
              <w:pStyle w:val="TableContents"/>
              <w:bidi w:val="0"/>
              <w:jc w:val="both"/>
              <w:rPr>
                <w:rFonts w:ascii="Times New Roman" w:hAnsi="Times New Roman"/>
                <w:color w:val="000000"/>
                <w:sz w:val="22"/>
              </w:rPr>
            </w:pPr>
            <w:r>
              <w:rPr>
                <w:rFonts w:ascii="Times New Roman" w:hAnsi="Times New Roman"/>
                <w:color w:val="000000"/>
                <w:sz w:val="22"/>
              </w:rPr>
              <w:t>Vice President, Finance</w:t>
            </w:r>
          </w:p>
          <w:p>
            <w:pPr>
              <w:pStyle w:val="TableContents"/>
              <w:bidi w:val="0"/>
              <w:spacing w:before="0" w:after="283"/>
              <w:jc w:val="both"/>
              <w:rPr>
                <w:rFonts w:ascii="Times New Roman" w:hAnsi="Times New Roman"/>
                <w:i/>
                <w:color w:val="000000"/>
                <w:sz w:val="22"/>
              </w:rPr>
            </w:pPr>
            <w:r>
              <w:rPr>
                <w:rFonts w:ascii="Times New Roman" w:hAnsi="Times New Roman"/>
                <w:i/>
                <w:color w:val="000000"/>
                <w:sz w:val="22"/>
              </w:rPr>
              <w:t>(Principal Accounting Officer)</w:t>
            </w:r>
          </w:p>
        </w:tc>
      </w:tr>
    </w:tbl>
    <w:p>
      <w:pPr>
        <w:pStyle w:val="TextBody"/>
        <w:bidi w:val="0"/>
        <w:jc w:val="both"/>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POWER OF ATTORNEY</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Each person whose signature appears below constitutes and appoints Holger Weis and Ferdinand Groenewald, or either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substitutes, may lawfully do or cause to be done by virtue hereof.</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Pursuant to the requirements of the Securities Act of 1933, this Registration Statement has been signed by the following persons in the capacities and on the dates indicated.</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098"/>
        <w:gridCol w:w="146"/>
        <w:gridCol w:w="6761"/>
        <w:gridCol w:w="146"/>
        <w:gridCol w:w="1054"/>
      </w:tblGrid>
      <w:tr>
        <w:trPr/>
        <w:tc>
          <w:tcPr>
            <w:tcW w:w="20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2098"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676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054"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2098" w:type="dxa"/>
            <w:tcBorders/>
            <w:shd w:fill="FFFFFF" w:val="clear"/>
            <w:tcMar>
              <w:top w:w="0" w:type="dxa"/>
              <w:left w:w="0" w:type="dxa"/>
              <w:bottom w:w="0" w:type="dxa"/>
              <w:right w:w="0" w:type="dxa"/>
            </w:tcMar>
            <w:vAlign w:val="center"/>
          </w:tcPr>
          <w:p>
            <w:pPr>
              <w:pStyle w:val="TableContents"/>
              <w:bidi w:val="0"/>
              <w:jc w:val="both"/>
              <w:rPr>
                <w:rFonts w:ascii="Times New Roman" w:hAnsi="Times New Roman"/>
                <w:color w:val="000000"/>
                <w:sz w:val="22"/>
              </w:rPr>
            </w:pPr>
            <w:r>
              <w:rPr>
                <w:rFonts w:ascii="Times New Roman" w:hAnsi="Times New Roman"/>
                <w:color w:val="000000"/>
                <w:sz w:val="22"/>
              </w:rPr>
              <w:t>/s/ Holger Weis</w:t>
            </w:r>
          </w:p>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Holger Weis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sz w:val="22"/>
              </w:rPr>
            </w:pPr>
            <w:r>
              <w:rPr>
                <w:rFonts w:ascii="Times New Roman" w:hAnsi="Times New Roman"/>
                <w:color w:val="000000"/>
                <w:sz w:val="22"/>
              </w:rPr>
              <w:t>Chief Executive Officer and Director </w:t>
            </w:r>
            <w:r>
              <w:rPr>
                <w:rFonts w:ascii="Times New Roman" w:hAnsi="Times New Roman"/>
                <w:i/>
                <w:color w:val="000000"/>
                <w:sz w:val="22"/>
              </w:rPr>
              <w:t>(Principal Executive Officer and Principal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July 2, 2026</w:t>
            </w:r>
          </w:p>
        </w:tc>
      </w:tr>
      <w:tr>
        <w:trPr/>
        <w:tc>
          <w:tcPr>
            <w:tcW w:w="2098"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6907"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2098" w:type="dxa"/>
            <w:tcBorders/>
            <w:shd w:fill="FFFFFF" w:val="clear"/>
            <w:tcMar>
              <w:top w:w="0" w:type="dxa"/>
              <w:left w:w="0" w:type="dxa"/>
              <w:bottom w:w="0" w:type="dxa"/>
              <w:right w:w="0" w:type="dxa"/>
            </w:tcMar>
            <w:vAlign w:val="center"/>
          </w:tcPr>
          <w:p>
            <w:pPr>
              <w:pStyle w:val="TableContents"/>
              <w:bidi w:val="0"/>
              <w:jc w:val="both"/>
              <w:rPr>
                <w:rFonts w:ascii="Times New Roman" w:hAnsi="Times New Roman"/>
                <w:color w:val="000000"/>
                <w:sz w:val="22"/>
              </w:rPr>
            </w:pPr>
            <w:r>
              <w:rPr>
                <w:rFonts w:ascii="Times New Roman" w:hAnsi="Times New Roman"/>
                <w:color w:val="000000"/>
                <w:sz w:val="22"/>
              </w:rPr>
              <w:t>/s/ Ferdinand Groenewald</w:t>
            </w:r>
          </w:p>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Ferdinand Groenewald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1" w:type="dxa"/>
            <w:tcBorders/>
            <w:shd w:fill="FFFFFF" w:val="clear"/>
            <w:tcMar>
              <w:top w:w="0" w:type="dxa"/>
              <w:left w:w="0" w:type="dxa"/>
              <w:bottom w:w="0" w:type="dxa"/>
              <w:right w:w="0" w:type="dxa"/>
            </w:tcMar>
            <w:vAlign w:val="center"/>
          </w:tcPr>
          <w:p>
            <w:pPr>
              <w:pStyle w:val="TableContents"/>
              <w:bidi w:val="0"/>
              <w:jc w:val="both"/>
              <w:rPr>
                <w:rFonts w:ascii="Times New Roman" w:hAnsi="Times New Roman"/>
                <w:color w:val="000000"/>
                <w:sz w:val="22"/>
              </w:rPr>
            </w:pPr>
            <w:r>
              <w:rPr>
                <w:rFonts w:ascii="Times New Roman" w:hAnsi="Times New Roman"/>
                <w:color w:val="000000"/>
                <w:sz w:val="22"/>
              </w:rPr>
              <w:t>Vice President, Finance</w:t>
            </w:r>
          </w:p>
          <w:p>
            <w:pPr>
              <w:pStyle w:val="TableContents"/>
              <w:bidi w:val="0"/>
              <w:spacing w:before="0" w:after="283"/>
              <w:jc w:val="both"/>
              <w:rPr>
                <w:rFonts w:ascii="Times New Roman" w:hAnsi="Times New Roman"/>
                <w:i/>
                <w:color w:val="000000"/>
                <w:sz w:val="22"/>
              </w:rPr>
            </w:pPr>
            <w:r>
              <w:rPr>
                <w:rFonts w:ascii="Times New Roman" w:hAnsi="Times New Roman"/>
                <w:i/>
                <w:color w:val="000000"/>
                <w:sz w:val="22"/>
              </w:rPr>
              <w:t>(Principal Accounting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July 2, 2026</w:t>
            </w:r>
          </w:p>
        </w:tc>
      </w:tr>
      <w:tr>
        <w:trPr/>
        <w:tc>
          <w:tcPr>
            <w:tcW w:w="2098"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6907"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2098" w:type="dxa"/>
            <w:tcBorders/>
            <w:shd w:fill="FFFFFF" w:val="clear"/>
            <w:tcMar>
              <w:top w:w="0" w:type="dxa"/>
              <w:left w:w="0" w:type="dxa"/>
              <w:bottom w:w="0" w:type="dxa"/>
              <w:right w:w="0" w:type="dxa"/>
            </w:tcMar>
            <w:vAlign w:val="center"/>
          </w:tcPr>
          <w:p>
            <w:pPr>
              <w:pStyle w:val="TableContents"/>
              <w:bidi w:val="0"/>
              <w:jc w:val="both"/>
              <w:rPr>
                <w:rFonts w:ascii="Times New Roman" w:hAnsi="Times New Roman"/>
                <w:color w:val="000000"/>
                <w:sz w:val="22"/>
              </w:rPr>
            </w:pPr>
            <w:r>
              <w:rPr>
                <w:rFonts w:ascii="Times New Roman" w:hAnsi="Times New Roman"/>
                <w:color w:val="000000"/>
                <w:sz w:val="22"/>
              </w:rPr>
              <w:t>/s/ Robert W. Postma</w:t>
            </w:r>
          </w:p>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Robert W. Postma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July 2, 2026</w:t>
            </w:r>
          </w:p>
        </w:tc>
      </w:tr>
      <w:tr>
        <w:trPr/>
        <w:tc>
          <w:tcPr>
            <w:tcW w:w="2098"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6907"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2098" w:type="dxa"/>
            <w:tcBorders/>
            <w:shd w:fill="FFFFFF" w:val="clear"/>
            <w:tcMar>
              <w:top w:w="0" w:type="dxa"/>
              <w:left w:w="0" w:type="dxa"/>
              <w:bottom w:w="0" w:type="dxa"/>
              <w:right w:w="0" w:type="dxa"/>
            </w:tcMar>
            <w:vAlign w:val="center"/>
          </w:tcPr>
          <w:p>
            <w:pPr>
              <w:pStyle w:val="TableContents"/>
              <w:bidi w:val="0"/>
              <w:jc w:val="both"/>
              <w:rPr>
                <w:rFonts w:ascii="Times New Roman" w:hAnsi="Times New Roman"/>
                <w:color w:val="000000"/>
                <w:sz w:val="22"/>
              </w:rPr>
            </w:pPr>
            <w:r>
              <w:rPr>
                <w:rFonts w:ascii="Times New Roman" w:hAnsi="Times New Roman"/>
                <w:color w:val="000000"/>
                <w:sz w:val="22"/>
              </w:rPr>
              <w:t>/s/ Jaime Vieser</w:t>
            </w:r>
          </w:p>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Jaime Vieser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July 2, 2026</w:t>
            </w:r>
          </w:p>
        </w:tc>
      </w:tr>
      <w:tr>
        <w:trPr/>
        <w:tc>
          <w:tcPr>
            <w:tcW w:w="2098"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6907"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2098" w:type="dxa"/>
            <w:tcBorders/>
            <w:shd w:fill="FFFFFF" w:val="clear"/>
            <w:tcMar>
              <w:top w:w="0" w:type="dxa"/>
              <w:left w:w="0" w:type="dxa"/>
              <w:bottom w:w="0" w:type="dxa"/>
              <w:right w:w="0" w:type="dxa"/>
            </w:tcMar>
            <w:vAlign w:val="center"/>
          </w:tcPr>
          <w:p>
            <w:pPr>
              <w:pStyle w:val="TableContents"/>
              <w:bidi w:val="0"/>
              <w:jc w:val="both"/>
              <w:rPr>
                <w:rFonts w:ascii="Times New Roman" w:hAnsi="Times New Roman"/>
                <w:color w:val="000000"/>
                <w:sz w:val="22"/>
              </w:rPr>
            </w:pPr>
            <w:r>
              <w:rPr>
                <w:rFonts w:ascii="Times New Roman" w:hAnsi="Times New Roman"/>
                <w:color w:val="000000"/>
                <w:sz w:val="22"/>
              </w:rPr>
              <w:t>/s/ Michael A. Jerman</w:t>
            </w:r>
          </w:p>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Michael A. Jerman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July 2, 2026</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tcrt-ex5_1.htm"/>
      <w:bookmarkStart w:id="3" w:name="kstcrtex5_1"/>
      <w:bookmarkEnd w:id="2"/>
      <w:bookmarkEnd w:id="3"/>
      <w:r>
        <w:rPr/>
        <w:t> </w:t>
      </w:r>
      <w:r>
        <w:br w:type="page"/>
      </w:r>
    </w:p>
    <w:p>
      <w:pPr>
        <w:pStyle w:val="TextBody"/>
        <w:bidi w:val="0"/>
        <w:jc w:val="both"/>
        <w:rPr/>
      </w:pPr>
      <w:r>
        <w:rPr/>
        <w:t> </w:t>
      </w:r>
    </w:p>
    <w:tbl>
      <w:tblPr>
        <w:tblW w:w="7334" w:type="dxa"/>
        <w:jc w:val="left"/>
        <w:tblInd w:w="0" w:type="dxa"/>
        <w:tblLayout w:type="fixed"/>
        <w:tblCellMar>
          <w:top w:w="28" w:type="dxa"/>
          <w:left w:w="28" w:type="dxa"/>
          <w:bottom w:w="28" w:type="dxa"/>
          <w:right w:w="28" w:type="dxa"/>
        </w:tblCellMar>
      </w:tblPr>
      <w:tblGrid>
        <w:gridCol w:w="124"/>
        <w:gridCol w:w="4696"/>
        <w:gridCol w:w="109"/>
        <w:gridCol w:w="225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4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tcBorders>
              <w:top w:val="single" w:sz="18" w:space="0" w:color="000000"/>
              <w:bottom w:val="single" w:sz="18" w:space="0" w:color="000000"/>
            </w:tcBorders>
            <w:tcMar>
              <w:left w:w="0" w:type="dxa"/>
              <w:right w:w="0" w:type="dxa"/>
            </w:tcMar>
            <w:vAlign w:val="center"/>
          </w:tcPr>
          <w:p>
            <w:pPr>
              <w:pStyle w:val="TableContents"/>
              <w:bidi w:val="0"/>
              <w:jc w:val="center"/>
              <w:rPr>
                <w:rFonts w:ascii="Times New Roman" w:hAnsi="Times New Roman"/>
                <w:smallCaps/>
                <w:color w:val="000000"/>
                <w:sz w:val="48"/>
              </w:rPr>
            </w:pPr>
            <w:r>
              <w:rPr>
                <w:rFonts w:ascii="Times New Roman" w:hAnsi="Times New Roman"/>
                <w:smallCaps/>
                <w:color w:val="000000"/>
                <w:sz w:val="48"/>
              </w:rPr>
              <w:t>The Doney Law Firm</w:t>
            </w:r>
          </w:p>
          <w:p>
            <w:pPr>
              <w:pStyle w:val="TableContents"/>
              <w:bidi w:val="0"/>
              <w:spacing w:before="0" w:after="283"/>
              <w:jc w:val="center"/>
              <w:rPr>
                <w:rFonts w:ascii="Times New Roman" w:hAnsi="Times New Roman"/>
                <w:sz w:val="26"/>
              </w:rPr>
            </w:pPr>
            <w:r>
              <w:rPr>
                <w:rFonts w:ascii="Times New Roman" w:hAnsi="Times New Roman"/>
                <w:smallCaps/>
                <w:color w:val="000000"/>
                <w:sz w:val="26"/>
              </w:rPr>
              <w:t>Securities &amp; Corporate Law</w:t>
            </w:r>
            <w:r>
              <w:rPr>
                <w:rFonts w:ascii="Times New Roman" w:hAnsi="Times New Roman"/>
                <w:smallCaps/>
                <w:color w:val="2F5496"/>
                <w:sz w:val="26"/>
              </w:rPr>
              <w:t xml:space="preserve"> </w:t>
            </w:r>
          </w:p>
        </w:tc>
        <w:tc>
          <w:tcPr>
            <w:tcW w:w="109" w:type="dxa"/>
            <w:tcBorders>
              <w:top w:val="single" w:sz="1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Scott P. Doney, Esq.</w:t>
            </w:r>
          </w:p>
          <w:p>
            <w:pPr>
              <w:pStyle w:val="TableContents"/>
              <w:bidi w:val="0"/>
              <w:jc w:val="left"/>
              <w:rPr>
                <w:rFonts w:ascii="Times New Roman" w:hAnsi="Times New Roman"/>
                <w:color w:val="000000"/>
                <w:sz w:val="20"/>
              </w:rPr>
            </w:pPr>
            <w:r>
              <w:rPr>
                <w:rFonts w:ascii="Times New Roman" w:hAnsi="Times New Roman"/>
                <w:color w:val="000000"/>
                <w:sz w:val="20"/>
              </w:rPr>
              <w:t>3651 Lindell Rd Ste D121</w:t>
            </w:r>
          </w:p>
          <w:p>
            <w:pPr>
              <w:pStyle w:val="TableContents"/>
              <w:bidi w:val="0"/>
              <w:jc w:val="left"/>
              <w:rPr>
                <w:rFonts w:ascii="Times New Roman" w:hAnsi="Times New Roman"/>
                <w:color w:val="000000"/>
                <w:sz w:val="20"/>
              </w:rPr>
            </w:pPr>
            <w:r>
              <w:rPr>
                <w:rFonts w:ascii="Times New Roman" w:hAnsi="Times New Roman"/>
                <w:color w:val="000000"/>
                <w:sz w:val="20"/>
              </w:rPr>
              <w:t>Las Vegas, NV 89103</w:t>
            </w:r>
          </w:p>
          <w:p>
            <w:pPr>
              <w:pStyle w:val="TableContents"/>
              <w:bidi w:val="0"/>
              <w:jc w:val="left"/>
              <w:rPr>
                <w:rFonts w:ascii="Times New Roman" w:hAnsi="Times New Roman"/>
                <w:color w:val="000000"/>
                <w:sz w:val="20"/>
              </w:rPr>
            </w:pPr>
            <w:r>
              <w:rPr>
                <w:rFonts w:ascii="Times New Roman" w:hAnsi="Times New Roman"/>
                <w:color w:val="000000"/>
                <w:sz w:val="20"/>
              </w:rPr>
              <w:t>702.982.5686</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scott@doneylawfirm.com</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t> </w:t>
      </w:r>
    </w:p>
    <w:p>
      <w:pPr>
        <w:pStyle w:val="TextBody"/>
        <w:bidi w:val="0"/>
        <w:jc w:val="left"/>
        <w:rPr>
          <w:rFonts w:ascii="Times New Roman" w:hAnsi="Times New Roman"/>
          <w:color w:val="000000"/>
          <w:sz w:val="22"/>
        </w:rPr>
      </w:pPr>
      <w:r>
        <w:rPr>
          <w:rFonts w:ascii="Times New Roman" w:hAnsi="Times New Roman"/>
          <w:color w:val="000000"/>
          <w:sz w:val="22"/>
        </w:rPr>
        <w:t>July 2, 2026</w:t>
      </w:r>
    </w:p>
    <w:p>
      <w:pPr>
        <w:pStyle w:val="TextBody"/>
        <w:pBdr>
          <w:top w:val="single" w:sz="6" w:space="1" w:color="FFFFFF"/>
          <w:left w:val="single" w:sz="6" w:space="1" w:color="FFFFFF"/>
          <w:right w:val="single" w:sz="6" w:space="1" w:color="FFFFFF"/>
        </w:pBdr>
        <w:bidi w:val="0"/>
        <w:jc w:val="both"/>
        <w:rPr/>
      </w:pPr>
      <w:r>
        <w:rPr/>
        <w:t> </w:t>
      </w:r>
    </w:p>
    <w:p>
      <w:pPr>
        <w:pStyle w:val="TextBody"/>
        <w:pBdr>
          <w:left w:val="single" w:sz="6" w:space="1" w:color="FFFFFF"/>
          <w:right w:val="single" w:sz="6" w:space="1" w:color="FFFFFF"/>
        </w:pBdr>
        <w:bidi w:val="0"/>
        <w:jc w:val="both"/>
        <w:rPr>
          <w:rFonts w:ascii="Times New Roman" w:hAnsi="Times New Roman"/>
          <w:color w:val="000000"/>
          <w:sz w:val="22"/>
        </w:rPr>
      </w:pPr>
      <w:r>
        <w:rPr>
          <w:rFonts w:ascii="Times New Roman" w:hAnsi="Times New Roman"/>
          <w:color w:val="000000"/>
          <w:sz w:val="22"/>
        </w:rPr>
        <w:t>Alaunos Therapeutics, Inc.</w:t>
      </w:r>
    </w:p>
    <w:p>
      <w:pPr>
        <w:pStyle w:val="TextBody"/>
        <w:pBdr>
          <w:left w:val="single" w:sz="6" w:space="1" w:color="FFFFFF"/>
          <w:right w:val="single" w:sz="6" w:space="1" w:color="FFFFFF"/>
        </w:pBdr>
        <w:bidi w:val="0"/>
        <w:jc w:val="both"/>
        <w:rPr>
          <w:rFonts w:ascii="Times New Roman" w:hAnsi="Times New Roman"/>
          <w:color w:val="000000"/>
          <w:sz w:val="22"/>
        </w:rPr>
      </w:pPr>
      <w:r>
        <w:rPr>
          <w:rFonts w:ascii="Times New Roman" w:hAnsi="Times New Roman"/>
          <w:color w:val="000000"/>
          <w:sz w:val="22"/>
        </w:rPr>
        <w:t>501 E. Las Olas Blvd., Suite 300</w:t>
      </w:r>
    </w:p>
    <w:p>
      <w:pPr>
        <w:pStyle w:val="TextBody"/>
        <w:pBdr>
          <w:left w:val="single" w:sz="6" w:space="1" w:color="FFFFFF"/>
          <w:right w:val="single" w:sz="6" w:space="1" w:color="FFFFFF"/>
        </w:pBdr>
        <w:bidi w:val="0"/>
        <w:jc w:val="both"/>
        <w:rPr>
          <w:rFonts w:ascii="Times New Roman" w:hAnsi="Times New Roman"/>
          <w:sz w:val="20"/>
        </w:rPr>
      </w:pPr>
      <w:r>
        <w:rPr>
          <w:rFonts w:ascii="Times New Roman" w:hAnsi="Times New Roman"/>
          <w:color w:val="000000"/>
          <w:sz w:val="22"/>
        </w:rPr>
        <w:t>Fort Lauderdale, FL 33301</w:t>
      </w:r>
      <w:r>
        <w:rPr>
          <w:rFonts w:ascii="Times New Roman" w:hAnsi="Times New Roman"/>
          <w:color w:val="000000"/>
          <w:sz w:val="20"/>
        </w:rPr>
        <w:t xml:space="preserve"> </w:t>
      </w:r>
    </w:p>
    <w:p>
      <w:pPr>
        <w:pStyle w:val="TextBody"/>
        <w:pBdr>
          <w:left w:val="single" w:sz="6" w:space="1" w:color="FFFFFF"/>
          <w:right w:val="single" w:sz="6" w:space="1" w:color="FFFFFF"/>
        </w:pBdr>
        <w:bidi w:val="0"/>
        <w:jc w:val="both"/>
        <w:rPr/>
      </w:pPr>
      <w:r>
        <w:rPr/>
        <w:t> </w:t>
      </w:r>
    </w:p>
    <w:p>
      <w:pPr>
        <w:pStyle w:val="TextBody"/>
        <w:pBdr>
          <w:left w:val="single" w:sz="6" w:space="1" w:color="FFFFFF"/>
          <w:right w:val="single" w:sz="6" w:space="1" w:color="FFFFFF"/>
        </w:pBdr>
        <w:bidi w:val="0"/>
        <w:jc w:val="both"/>
        <w:rPr>
          <w:rFonts w:ascii="Times New Roman" w:hAnsi="Times New Roman"/>
          <w:b/>
          <w:i/>
          <w:color w:val="000000"/>
          <w:sz w:val="22"/>
        </w:rPr>
      </w:pPr>
      <w:r>
        <w:rPr>
          <w:rFonts w:ascii="Times New Roman" w:hAnsi="Times New Roman"/>
          <w:b/>
          <w:i/>
          <w:color w:val="000000"/>
          <w:sz w:val="22"/>
        </w:rPr>
        <w:t>Re: Registration Statement on Form S-8 – Alaunos Therapeutics, Inc. 2020 Equity Incentive Plan</w:t>
      </w:r>
    </w:p>
    <w:p>
      <w:pPr>
        <w:pStyle w:val="TextBody"/>
        <w:pBdr>
          <w:left w:val="single" w:sz="6" w:space="1" w:color="FFFFFF"/>
          <w:right w:val="single" w:sz="6" w:space="1" w:color="FFFFFF"/>
        </w:pBdr>
        <w:bidi w:val="0"/>
        <w:jc w:val="both"/>
        <w:rPr/>
      </w:pPr>
      <w:r>
        <w:rPr/>
        <w:t> </w:t>
      </w:r>
    </w:p>
    <w:p>
      <w:pPr>
        <w:pStyle w:val="TextBody"/>
        <w:pBdr>
          <w:left w:val="single" w:sz="6" w:space="1" w:color="FFFFFF"/>
          <w:right w:val="single" w:sz="6" w:space="1" w:color="FFFFFF"/>
        </w:pBdr>
        <w:bidi w:val="0"/>
        <w:jc w:val="both"/>
        <w:rPr>
          <w:rFonts w:ascii="Times New Roman" w:hAnsi="Times New Roman"/>
          <w:color w:val="000000"/>
          <w:sz w:val="22"/>
        </w:rPr>
      </w:pPr>
      <w:r>
        <w:rPr>
          <w:rFonts w:ascii="Times New Roman" w:hAnsi="Times New Roman"/>
          <w:color w:val="000000"/>
          <w:sz w:val="22"/>
        </w:rPr>
        <w:t>Ladies and Gentlemen:</w:t>
      </w:r>
    </w:p>
    <w:p>
      <w:pPr>
        <w:pStyle w:val="TextBody"/>
        <w:pBdr>
          <w:left w:val="single" w:sz="6" w:space="1" w:color="FFFFFF"/>
          <w:right w:val="single" w:sz="6" w:space="1" w:color="FFFFFF"/>
        </w:pBdr>
        <w:bidi w:val="0"/>
        <w:jc w:val="both"/>
        <w:rPr/>
      </w:pPr>
      <w:r>
        <w:rPr/>
        <w:t> </w:t>
      </w:r>
    </w:p>
    <w:p>
      <w:pPr>
        <w:pStyle w:val="TextBody"/>
        <w:pBdr>
          <w:left w:val="single" w:sz="6" w:space="1" w:color="FFFFFF"/>
          <w:right w:val="single" w:sz="6" w:space="1" w:color="FFFFFF"/>
        </w:pBdr>
        <w:bidi w:val="0"/>
        <w:jc w:val="both"/>
        <w:rPr>
          <w:rFonts w:ascii="Times New Roman" w:hAnsi="Times New Roman"/>
          <w:color w:val="000000"/>
          <w:sz w:val="22"/>
        </w:rPr>
      </w:pPr>
      <w:r>
        <w:rPr>
          <w:rFonts w:ascii="Times New Roman" w:hAnsi="Times New Roman"/>
          <w:color w:val="000000"/>
          <w:sz w:val="22"/>
        </w:rPr>
        <w:t>We have acted as counsel to Alaunos Therapeutics, Inc., a Delaware corporation (the “Company”), in connection with the preparation and filing with the Securities and Exchange Commission (the “Commission”) of the Registration Statement on Form S-8 (the “Registration Statement”) under the Securities Act of 1933, as amended (the “Securities Act”). The Registration Statement relates to the registration of an additional 1,000,000 shares of the Company’s common stock, par value $0.001 per share (the “Shares”), issuable pursuant to the Alaunos Therapeutics, Inc. 2020 Equity Incentive Plan, as amended (including the amendment approved by the Company’s stockholders on July 3, 2025) (the “Plan”).</w:t>
      </w:r>
    </w:p>
    <w:p>
      <w:pPr>
        <w:pStyle w:val="TextBody"/>
        <w:pBdr>
          <w:left w:val="single" w:sz="6" w:space="1" w:color="FFFFFF"/>
          <w:right w:val="single" w:sz="6" w:space="1" w:color="FFFFFF"/>
        </w:pBdr>
        <w:bidi w:val="0"/>
        <w:jc w:val="both"/>
        <w:rPr/>
      </w:pPr>
      <w:r>
        <w:rPr/>
        <w:t> </w:t>
      </w:r>
    </w:p>
    <w:p>
      <w:pPr>
        <w:pStyle w:val="TextBody"/>
        <w:pBdr>
          <w:left w:val="single" w:sz="6" w:space="1" w:color="FFFFFF"/>
          <w:right w:val="single" w:sz="6" w:space="1" w:color="FFFFFF"/>
        </w:pBdr>
        <w:bidi w:val="0"/>
        <w:jc w:val="both"/>
        <w:rPr>
          <w:rFonts w:ascii="Times New Roman" w:hAnsi="Times New Roman"/>
          <w:color w:val="000000"/>
          <w:sz w:val="22"/>
        </w:rPr>
      </w:pPr>
      <w:r>
        <w:rPr>
          <w:rFonts w:ascii="Times New Roman" w:hAnsi="Times New Roman"/>
          <w:color w:val="000000"/>
          <w:sz w:val="22"/>
        </w:rPr>
        <w:t>In connection with this opinion, we have examined such documents and matters of law as we have deemed necessary or appropriate for the purpose of rendering the opinion set forth herein. In our examination, we have assumed the genuineness of all signatures, the authenticity of all documents submitted to us as originals, the conformity to original documents of all documents submitted to us as copies, and the due authorization, execution and delivery of all documents by the parties thereto other than the Company. We have also assumed that the consideration to be received by the Company for the issuance of the Shares will be at least equal to the par value thereof.</w:t>
      </w:r>
    </w:p>
    <w:p>
      <w:pPr>
        <w:pStyle w:val="TextBody"/>
        <w:pBdr>
          <w:left w:val="single" w:sz="6" w:space="1" w:color="FFFFFF"/>
          <w:right w:val="single" w:sz="6" w:space="1" w:color="FFFFFF"/>
        </w:pBdr>
        <w:bidi w:val="0"/>
        <w:jc w:val="both"/>
        <w:rPr/>
      </w:pPr>
      <w:r>
        <w:rPr/>
        <w:t> </w:t>
      </w:r>
    </w:p>
    <w:p>
      <w:pPr>
        <w:pStyle w:val="TextBody"/>
        <w:pBdr>
          <w:left w:val="single" w:sz="6" w:space="1" w:color="FFFFFF"/>
          <w:right w:val="single" w:sz="6" w:space="1" w:color="FFFFFF"/>
        </w:pBdr>
        <w:bidi w:val="0"/>
        <w:jc w:val="both"/>
        <w:rPr>
          <w:rFonts w:ascii="Times New Roman" w:hAnsi="Times New Roman"/>
          <w:color w:val="000000"/>
          <w:sz w:val="22"/>
        </w:rPr>
      </w:pPr>
      <w:r>
        <w:rPr>
          <w:rFonts w:ascii="Times New Roman" w:hAnsi="Times New Roman"/>
          <w:color w:val="000000"/>
          <w:sz w:val="22"/>
        </w:rPr>
        <w:t>As to certain factual matters relevant to this opinion, we have relied upon certificates and other assurances of officers and other representatives of the Company and upon certificates of public officials. We have not independently verified the accuracy of any such factual matters.</w:t>
      </w:r>
    </w:p>
    <w:p>
      <w:pPr>
        <w:pStyle w:val="TextBody"/>
        <w:pBdr>
          <w:left w:val="single" w:sz="6" w:space="1" w:color="FFFFFF"/>
          <w:right w:val="single" w:sz="6" w:space="1" w:color="FFFFFF"/>
        </w:pBdr>
        <w:bidi w:val="0"/>
        <w:jc w:val="both"/>
        <w:rPr/>
      </w:pPr>
      <w:r>
        <w:rPr/>
        <w:t> </w:t>
      </w:r>
    </w:p>
    <w:p>
      <w:pPr>
        <w:pStyle w:val="TextBody"/>
        <w:pBdr>
          <w:left w:val="single" w:sz="6" w:space="1" w:color="FFFFFF"/>
          <w:right w:val="single" w:sz="6" w:space="1" w:color="FFFFFF"/>
        </w:pBdr>
        <w:bidi w:val="0"/>
        <w:jc w:val="both"/>
        <w:rPr>
          <w:rFonts w:ascii="Times New Roman" w:hAnsi="Times New Roman"/>
          <w:color w:val="000000"/>
          <w:sz w:val="22"/>
        </w:rPr>
      </w:pPr>
      <w:r>
        <w:rPr>
          <w:rFonts w:ascii="Times New Roman" w:hAnsi="Times New Roman"/>
          <w:color w:val="000000"/>
          <w:sz w:val="22"/>
        </w:rPr>
        <w:t>Based upon the foregoing and subject to the qualifications and limitations set forth below, we are of the opinion that the Shares have been duly authorized by all necessary corporate action on the part of the Company. When the Shares are issued and delivered in accordance with the terms and conditions of the Plan and upon payment of the consideration therefor as provided in the Plan (or, in the case of awards that do not require payment of consideration, upon issuance in accordance with the terms of the applicable award agreement), the Shares will be validly issued, fully paid and non-assessable.</w:t>
      </w:r>
    </w:p>
    <w:p>
      <w:pPr>
        <w:pStyle w:val="TextBody"/>
        <w:pBdr>
          <w:left w:val="single" w:sz="6" w:space="1" w:color="FFFFFF"/>
          <w:right w:val="single" w:sz="6" w:space="1" w:color="FFFFFF"/>
        </w:pBdr>
        <w:bidi w:val="0"/>
        <w:jc w:val="both"/>
        <w:rPr/>
      </w:pPr>
      <w:r>
        <w:rPr/>
        <w:t> </w:t>
      </w:r>
    </w:p>
    <w:p>
      <w:pPr>
        <w:pStyle w:val="TextBody"/>
        <w:pBdr>
          <w:left w:val="single" w:sz="6" w:space="1" w:color="FFFFFF"/>
          <w:right w:val="single" w:sz="6" w:space="1" w:color="FFFFFF"/>
        </w:pBdr>
        <w:bidi w:val="0"/>
        <w:jc w:val="both"/>
        <w:rPr>
          <w:rFonts w:ascii="Times New Roman" w:hAnsi="Times New Roman"/>
          <w:color w:val="000000"/>
          <w:sz w:val="22"/>
        </w:rPr>
      </w:pPr>
      <w:r>
        <w:rPr>
          <w:rFonts w:ascii="Times New Roman" w:hAnsi="Times New Roman"/>
          <w:color w:val="000000"/>
          <w:sz w:val="22"/>
        </w:rPr>
        <w:t>The foregoing opinion is limited to the General Corporation Law of the State of Delaware (including the applicable provisions of the Delaware Constitution and reported judicial decisions interpreting the foregoing). We express no opinion with respect to the laws of any other jurisdiction or as to any matters of municipal law or the laws of any local agencies within any jurisdiction.</w:t>
      </w:r>
    </w:p>
    <w:p>
      <w:pPr>
        <w:pStyle w:val="TextBody"/>
        <w:pBdr>
          <w:left w:val="single" w:sz="6" w:space="1" w:color="FFFFFF"/>
          <w:right w:val="single" w:sz="6" w:space="1" w:color="FFFFFF"/>
        </w:pBdr>
        <w:bidi w:val="0"/>
        <w:jc w:val="both"/>
        <w:rPr/>
      </w:pPr>
      <w:r>
        <w:rPr/>
        <w:t> </w:t>
      </w:r>
    </w:p>
    <w:p>
      <w:pPr>
        <w:pStyle w:val="TextBody"/>
        <w:pBdr>
          <w:left w:val="single" w:sz="6" w:space="1" w:color="FFFFFF"/>
          <w:bottom w:val="single" w:sz="6" w:space="1" w:color="FFFFFF"/>
          <w:right w:val="single" w:sz="6" w:space="1" w:color="FFFFFF"/>
        </w:pBdr>
        <w:bidi w:val="0"/>
        <w:jc w:val="both"/>
        <w:rPr>
          <w:rFonts w:ascii="Times New Roman" w:hAnsi="Times New Roman"/>
          <w:sz w:val="20"/>
        </w:rPr>
      </w:pPr>
      <w:r>
        <w:rPr>
          <w:rFonts w:ascii="Times New Roman" w:hAnsi="Times New Roman"/>
          <w:color w:val="000000"/>
          <w:sz w:val="22"/>
        </w:rPr>
        <w:t>This opinion is rendered as of the date first written above and is based on our review of the documents and matters of law as they exist on such date. We assume no obligation to update or supplement this opinion to</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pBdr>
          <w:top w:val="single" w:sz="6" w:space="1" w:color="FFFFFF"/>
          <w:left w:val="single" w:sz="6" w:space="1" w:color="FFFFFF"/>
          <w:right w:val="single" w:sz="6" w:space="1" w:color="FFFFFF"/>
        </w:pBdr>
        <w:bidi w:val="0"/>
        <w:jc w:val="both"/>
        <w:rPr>
          <w:rFonts w:ascii="Times New Roman" w:hAnsi="Times New Roman"/>
          <w:color w:val="000000"/>
          <w:sz w:val="22"/>
        </w:rPr>
      </w:pPr>
      <w:r>
        <w:rPr>
          <w:rFonts w:ascii="Times New Roman" w:hAnsi="Times New Roman"/>
          <w:color w:val="000000"/>
          <w:sz w:val="22"/>
        </w:rPr>
        <w:t>reflect any facts or circumstances that may hereafter come to our attention or any changes in law that may hereafter occur.</w:t>
      </w:r>
    </w:p>
    <w:p>
      <w:pPr>
        <w:pStyle w:val="TextBody"/>
        <w:pBdr>
          <w:left w:val="single" w:sz="6" w:space="1" w:color="FFFFFF"/>
          <w:right w:val="single" w:sz="6" w:space="1" w:color="FFFFFF"/>
        </w:pBdr>
        <w:bidi w:val="0"/>
        <w:jc w:val="both"/>
        <w:rPr/>
      </w:pPr>
      <w:r>
        <w:rPr/>
        <w:t> </w:t>
      </w:r>
    </w:p>
    <w:p>
      <w:pPr>
        <w:pStyle w:val="TextBody"/>
        <w:pBdr>
          <w:left w:val="single" w:sz="6" w:space="1" w:color="FFFFFF"/>
          <w:right w:val="single" w:sz="6" w:space="1" w:color="FFFFFF"/>
        </w:pBdr>
        <w:bidi w:val="0"/>
        <w:jc w:val="both"/>
        <w:rPr>
          <w:rFonts w:ascii="Times New Roman" w:hAnsi="Times New Roman"/>
          <w:color w:val="000000"/>
          <w:sz w:val="22"/>
        </w:rPr>
      </w:pPr>
      <w:r>
        <w:rPr>
          <w:rFonts w:ascii="Times New Roman" w:hAnsi="Times New Roman"/>
          <w:color w:val="000000"/>
          <w:sz w:val="22"/>
        </w:rPr>
        <w:t>We consent to the filing of this opinion letter as Exhibit 5.1 to the Registration Statement and to the reference to our firm under the caption “Legal Matters” or similar caption in the Registration Statement. In giving such consent, we do not thereby admit that we are in the category of persons whose consent is required under Section 7 of the Securities Act or the rules and regulations of the Commission thereunder.</w:t>
      </w:r>
    </w:p>
    <w:p>
      <w:pPr>
        <w:pStyle w:val="TextBody"/>
        <w:pBdr>
          <w:left w:val="single" w:sz="6" w:space="1" w:color="FFFFFF"/>
          <w:right w:val="single" w:sz="6" w:space="1" w:color="FFFFFF"/>
        </w:pBdr>
        <w:bidi w:val="0"/>
        <w:jc w:val="both"/>
        <w:rPr/>
      </w:pPr>
      <w:r>
        <w:rPr/>
        <w:t> </w:t>
      </w:r>
    </w:p>
    <w:p>
      <w:pPr>
        <w:pStyle w:val="TextBody"/>
        <w:pBdr>
          <w:left w:val="single" w:sz="6" w:space="1" w:color="FFFFFF"/>
          <w:bottom w:val="single" w:sz="6" w:space="1" w:color="FFFFFF"/>
          <w:right w:val="single" w:sz="6" w:space="1" w:color="FFFFFF"/>
        </w:pBdr>
        <w:bidi w:val="0"/>
        <w:jc w:val="both"/>
        <w:rPr/>
      </w:pPr>
      <w:r>
        <w:rPr/>
        <w:drawing>
          <wp:inline distT="0" distB="0" distL="0" distR="0">
            <wp:extent cx="1219200" cy="1038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5"/>
                    <a:stretch>
                      <a:fillRect/>
                    </a:stretch>
                  </pic:blipFill>
                  <pic:spPr bwMode="auto">
                    <a:xfrm>
                      <a:off x="0" y="0"/>
                      <a:ext cx="1219200" cy="1038225"/>
                    </a:xfrm>
                    <a:prstGeom prst="rect">
                      <a:avLst/>
                    </a:prstGeom>
                  </pic:spPr>
                </pic:pic>
              </a:graphicData>
            </a:graphic>
          </wp:inline>
        </w:drawing>
      </w:r>
      <w:r>
        <w:rPr>
          <w:rFonts w:ascii="Times New Roman" w:hAnsi="Times New Roman"/>
          <w:color w:val="000000"/>
          <w:sz w:val="22"/>
        </w:rPr>
        <w:t>The Doney Law Firm</w:t>
      </w:r>
    </w:p>
    <w:p>
      <w:pPr>
        <w:pStyle w:val="TextBody"/>
        <w:bidi w:val="0"/>
        <w:jc w:val="left"/>
        <w:rPr>
          <w:rFonts w:ascii="Times New Roman" w:hAnsi="Times New Roman"/>
          <w:color w:val="000000"/>
          <w:sz w:val="22"/>
        </w:rPr>
      </w:pPr>
      <w:r>
        <w:rPr>
          <w:rFonts w:ascii="Times New Roman" w:hAnsi="Times New Roman"/>
          <w:color w:val="000000"/>
          <w:sz w:val="22"/>
        </w:rPr>
        <w:t>_________________</w:t>
      </w:r>
    </w:p>
    <w:p>
      <w:pPr>
        <w:pStyle w:val="TextBody"/>
        <w:bidi w:val="0"/>
        <w:jc w:val="left"/>
        <w:rPr>
          <w:rFonts w:ascii="Times New Roman" w:hAnsi="Times New Roman"/>
          <w:color w:val="000000"/>
          <w:sz w:val="22"/>
        </w:rPr>
      </w:pPr>
      <w:r>
        <w:rPr>
          <w:rFonts w:ascii="Times New Roman" w:hAnsi="Times New Roman"/>
          <w:color w:val="000000"/>
          <w:sz w:val="22"/>
        </w:rPr>
        <w:t>Scott Doney, Esq.</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4" w:name="tcrt-ex23_1.htm"/>
      <w:bookmarkStart w:id="5" w:name="kstcrtex23_1"/>
      <w:bookmarkEnd w:id="4"/>
      <w:bookmarkEnd w:id="5"/>
      <w:r>
        <w:rPr/>
        <w:t> </w:t>
      </w:r>
      <w:r>
        <w:br w:type="page"/>
      </w:r>
    </w:p>
    <w:p>
      <w:pPr>
        <w:pStyle w:val="TextBody"/>
        <w:bidi w:val="0"/>
        <w:jc w:val="center"/>
        <w:rPr/>
      </w:pPr>
      <w:r>
        <w:rPr/>
        <w:t> </w:t>
      </w:r>
    </w:p>
    <w:p>
      <w:pPr>
        <w:pStyle w:val="TextBody"/>
        <w:bidi w:val="0"/>
        <w:jc w:val="center"/>
        <w:rPr>
          <w:rFonts w:ascii="Arial" w:hAnsi="Arial"/>
          <w:b/>
          <w:color w:val="000000"/>
          <w:sz w:val="22"/>
        </w:rPr>
      </w:pPr>
      <w:r>
        <w:rPr>
          <w:rFonts w:ascii="Arial" w:hAnsi="Arial"/>
          <w:b/>
          <w:color w:val="000000"/>
          <w:sz w:val="22"/>
        </w:rPr>
        <w:t>CONSENT OF INDEPENDENT REGISTERED PUBLIC ACCOUNTING FIRM</w:t>
      </w:r>
    </w:p>
    <w:p>
      <w:pPr>
        <w:pStyle w:val="TextBody"/>
        <w:bidi w:val="0"/>
        <w:jc w:val="center"/>
        <w:rPr/>
      </w:pPr>
      <w:r>
        <w:rPr/>
        <w:t> </w:t>
      </w:r>
    </w:p>
    <w:p>
      <w:pPr>
        <w:pStyle w:val="TextBody"/>
        <w:bidi w:val="0"/>
        <w:jc w:val="both"/>
        <w:rPr/>
      </w:pPr>
      <w:r>
        <w:rPr/>
        <w:t> </w:t>
      </w:r>
    </w:p>
    <w:p>
      <w:pPr>
        <w:pStyle w:val="TextBody"/>
        <w:bidi w:val="0"/>
        <w:jc w:val="both"/>
        <w:rPr/>
      </w:pPr>
      <w:r>
        <w:rPr/>
        <w:t> </w:t>
      </w:r>
    </w:p>
    <w:p>
      <w:pPr>
        <w:pStyle w:val="TextBody"/>
        <w:bidi w:val="0"/>
        <w:spacing w:before="0" w:after="160"/>
        <w:jc w:val="both"/>
        <w:rPr>
          <w:rFonts w:ascii="Arial" w:hAnsi="Arial"/>
          <w:color w:val="000000"/>
          <w:sz w:val="20"/>
        </w:rPr>
      </w:pPr>
      <w:r>
        <w:rPr>
          <w:rFonts w:ascii="Arial" w:hAnsi="Arial"/>
          <w:color w:val="000000"/>
          <w:sz w:val="20"/>
        </w:rPr>
        <w:t>We consent to the incorporation by reference in this Registration Statement of Alaunos Therapeutics, Inc. (the “Company”) on Form S-8 to be filed on or about July 2, 2026 of our report, dated March 31, 2025, on our audit of the Company’s financial statements as of December 31, 2025 and for the year then ended. Our report includes an explanatory paragraph regarding the existence of substantial doubt concerning the Company’s ability to continue as a going concern. We also consent to the reference to us under the heading “Experts” in such registration statement.</w:t>
      </w:r>
    </w:p>
    <w:p>
      <w:pPr>
        <w:pStyle w:val="TextBody"/>
        <w:bidi w:val="0"/>
        <w:spacing w:before="0" w:after="160"/>
        <w:jc w:val="both"/>
        <w:rPr>
          <w:rFonts w:ascii="Arial" w:hAnsi="Arial"/>
          <w:color w:val="000000"/>
          <w:sz w:val="20"/>
        </w:rPr>
      </w:pPr>
      <w:r>
        <w:rPr>
          <w:rFonts w:ascii="Arial" w:hAnsi="Arial"/>
          <w:color w:val="000000"/>
          <w:sz w:val="20"/>
        </w:rPr>
        <w:t>/s/ Cherry Bekaert LLP</w:t>
      </w:r>
    </w:p>
    <w:p>
      <w:pPr>
        <w:pStyle w:val="TextBody"/>
        <w:bidi w:val="0"/>
        <w:jc w:val="both"/>
        <w:rPr>
          <w:rFonts w:ascii="Arial" w:hAnsi="Arial"/>
          <w:color w:val="000000"/>
          <w:sz w:val="20"/>
        </w:rPr>
      </w:pPr>
      <w:r>
        <w:rPr>
          <w:rFonts w:ascii="Arial" w:hAnsi="Arial"/>
          <w:color w:val="000000"/>
          <w:sz w:val="20"/>
        </w:rPr>
        <w:t>Tampa, Florida</w:t>
      </w:r>
    </w:p>
    <w:p>
      <w:pPr>
        <w:pStyle w:val="TextBody"/>
        <w:bidi w:val="0"/>
        <w:jc w:val="both"/>
        <w:rPr>
          <w:rFonts w:ascii="Arial" w:hAnsi="Arial"/>
          <w:color w:val="000000"/>
          <w:sz w:val="20"/>
        </w:rPr>
      </w:pPr>
      <w:r>
        <w:rPr>
          <w:rFonts w:ascii="Arial" w:hAnsi="Arial"/>
          <w:color w:val="000000"/>
          <w:sz w:val="20"/>
        </w:rPr>
        <w:t>July 2,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6" w:name="tcrt-exfiling_fees.htm"/>
      <w:bookmarkStart w:id="7" w:name="kstcrtexfiling_fees"/>
      <w:bookmarkStart w:id="8" w:name="tcrt-exfiling_fees.htm"/>
      <w:bookmarkStart w:id="9" w:name="kstcrtexfiling_fees"/>
      <w:bookmarkEnd w:id="8"/>
      <w:bookmarkEnd w:id="9"/>
      <w:r>
        <w:br w:type="page"/>
      </w:r>
    </w:p>
    <w:tbl>
      <w:tblPr>
        <w:tblW w:w="3578" w:type="dxa"/>
        <w:jc w:val="left"/>
        <w:tblInd w:w="0" w:type="dxa"/>
        <w:tblLayout w:type="fixed"/>
        <w:tblCellMar>
          <w:top w:w="28" w:type="dxa"/>
          <w:left w:w="28" w:type="dxa"/>
          <w:bottom w:w="28" w:type="dxa"/>
          <w:right w:w="28" w:type="dxa"/>
        </w:tblCellMar>
      </w:tblPr>
      <w:tblGrid>
        <w:gridCol w:w="3424"/>
        <w:gridCol w:w="154"/>
      </w:tblGrid>
      <w:tr>
        <w:trPr/>
        <w:tc>
          <w:tcPr>
            <w:tcW w:w="3578"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4"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24" w:type="dxa"/>
            <w:tcBorders/>
            <w:vAlign w:val="center"/>
          </w:tcPr>
          <w:p>
            <w:pPr>
              <w:pStyle w:val="TableContents"/>
              <w:bidi w:val="0"/>
              <w:spacing w:before="0" w:after="283"/>
              <w:jc w:val="left"/>
              <w:rPr>
                <w:b/>
              </w:rPr>
            </w:pPr>
            <w:r>
              <w:rPr>
                <w:b/>
              </w:rPr>
              <w:t xml:space="preserve">Alaunos Therapeutics,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2"/>
        <w:gridCol w:w="962"/>
        <w:gridCol w:w="1074"/>
        <w:gridCol w:w="1301"/>
        <w:gridCol w:w="1210"/>
        <w:gridCol w:w="1244"/>
        <w:gridCol w:w="1603"/>
        <w:gridCol w:w="1127"/>
        <w:gridCol w:w="1442"/>
      </w:tblGrid>
      <w:tr>
        <w:trPr/>
        <w:tc>
          <w:tcPr>
            <w:tcW w:w="242" w:type="dxa"/>
            <w:tcBorders/>
            <w:shd w:fill="9ADAF6" w:val="clear"/>
            <w:vAlign w:val="center"/>
          </w:tcPr>
          <w:p>
            <w:pPr>
              <w:pStyle w:val="TableHeading"/>
              <w:bidi w:val="0"/>
              <w:spacing w:before="0" w:after="283"/>
              <w:rPr>
                <w:sz w:val="4"/>
                <w:szCs w:val="4"/>
              </w:rPr>
            </w:pPr>
            <w:r>
              <w:rPr>
                <w:sz w:val="4"/>
                <w:szCs w:val="4"/>
              </w:rPr>
            </w:r>
          </w:p>
        </w:tc>
        <w:tc>
          <w:tcPr>
            <w:tcW w:w="96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74"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301"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10"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44"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03"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7"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42"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2" w:type="dxa"/>
            <w:tcBorders/>
            <w:shd w:fill="E7E7E2" w:val="clear"/>
            <w:vAlign w:val="center"/>
          </w:tcPr>
          <w:p>
            <w:pPr>
              <w:pStyle w:val="TableContents"/>
              <w:bidi w:val="0"/>
              <w:spacing w:before="0" w:after="283"/>
              <w:jc w:val="center"/>
              <w:rPr/>
            </w:pPr>
            <w:r>
              <w:rPr/>
              <w:t xml:space="preserve">1 </w:t>
            </w:r>
          </w:p>
        </w:tc>
        <w:tc>
          <w:tcPr>
            <w:tcW w:w="962" w:type="dxa"/>
            <w:tcBorders/>
            <w:shd w:fill="E7E7E2" w:val="clear"/>
            <w:vAlign w:val="center"/>
          </w:tcPr>
          <w:p>
            <w:pPr>
              <w:pStyle w:val="TableContents"/>
              <w:bidi w:val="0"/>
              <w:spacing w:before="0" w:after="283"/>
              <w:jc w:val="left"/>
              <w:rPr/>
            </w:pPr>
            <w:r>
              <w:rPr/>
              <w:t xml:space="preserve">Equity </w:t>
            </w:r>
          </w:p>
        </w:tc>
        <w:tc>
          <w:tcPr>
            <w:tcW w:w="1074" w:type="dxa"/>
            <w:tcBorders/>
            <w:shd w:fill="E7E7E2" w:val="clear"/>
            <w:vAlign w:val="center"/>
          </w:tcPr>
          <w:p>
            <w:pPr>
              <w:pStyle w:val="TableContents"/>
              <w:bidi w:val="0"/>
              <w:spacing w:before="0" w:after="283"/>
              <w:jc w:val="left"/>
              <w:rPr/>
            </w:pPr>
            <w:r>
              <w:rPr/>
              <w:t xml:space="preserve">Common Stock, par value $0.001 per share </w:t>
            </w:r>
          </w:p>
        </w:tc>
        <w:tc>
          <w:tcPr>
            <w:tcW w:w="1301" w:type="dxa"/>
            <w:tcBorders/>
            <w:shd w:fill="E7E7E2" w:val="clear"/>
            <w:vAlign w:val="center"/>
          </w:tcPr>
          <w:p>
            <w:pPr>
              <w:pStyle w:val="TableContents"/>
              <w:bidi w:val="0"/>
              <w:spacing w:before="0" w:after="283"/>
              <w:jc w:val="center"/>
              <w:rPr/>
            </w:pPr>
            <w:r>
              <w:rPr/>
              <w:t xml:space="preserve">Other </w:t>
            </w:r>
          </w:p>
        </w:tc>
        <w:tc>
          <w:tcPr>
            <w:tcW w:w="1210" w:type="dxa"/>
            <w:tcBorders/>
            <w:shd w:fill="E7E7E2" w:val="clear"/>
            <w:vAlign w:val="center"/>
          </w:tcPr>
          <w:p>
            <w:pPr>
              <w:pStyle w:val="TableContents"/>
              <w:bidi w:val="0"/>
              <w:spacing w:before="0" w:after="283"/>
              <w:jc w:val="right"/>
              <w:rPr/>
            </w:pPr>
            <w:r>
              <w:rPr/>
              <w:t xml:space="preserve">1,000,000 </w:t>
            </w:r>
          </w:p>
        </w:tc>
        <w:tc>
          <w:tcPr>
            <w:tcW w:w="1244" w:type="dxa"/>
            <w:tcBorders/>
            <w:shd w:fill="E7E7E2" w:val="clear"/>
            <w:vAlign w:val="center"/>
          </w:tcPr>
          <w:p>
            <w:pPr>
              <w:pStyle w:val="TableContents"/>
              <w:bidi w:val="0"/>
              <w:spacing w:before="0" w:after="283"/>
              <w:jc w:val="right"/>
              <w:rPr/>
            </w:pPr>
            <w:r>
              <w:rPr/>
              <w:t xml:space="preserve">$ 2.23 </w:t>
            </w:r>
          </w:p>
        </w:tc>
        <w:tc>
          <w:tcPr>
            <w:tcW w:w="1603" w:type="dxa"/>
            <w:tcBorders/>
            <w:shd w:fill="E7E7E2" w:val="clear"/>
            <w:vAlign w:val="center"/>
          </w:tcPr>
          <w:p>
            <w:pPr>
              <w:pStyle w:val="TableContents"/>
              <w:bidi w:val="0"/>
              <w:spacing w:before="0" w:after="283"/>
              <w:jc w:val="right"/>
              <w:rPr/>
            </w:pPr>
            <w:r>
              <w:rPr/>
              <w:t xml:space="preserve">$ 2,230,000.00 </w:t>
            </w:r>
          </w:p>
        </w:tc>
        <w:tc>
          <w:tcPr>
            <w:tcW w:w="1127" w:type="dxa"/>
            <w:tcBorders/>
            <w:shd w:fill="E7E7E2" w:val="clear"/>
            <w:vAlign w:val="center"/>
          </w:tcPr>
          <w:p>
            <w:pPr>
              <w:pStyle w:val="TableContents"/>
              <w:bidi w:val="0"/>
              <w:spacing w:before="0" w:after="283"/>
              <w:jc w:val="right"/>
              <w:rPr/>
            </w:pPr>
            <w:r>
              <w:rPr/>
              <w:t xml:space="preserve">0.0001381 </w:t>
            </w:r>
          </w:p>
        </w:tc>
        <w:tc>
          <w:tcPr>
            <w:tcW w:w="1442" w:type="dxa"/>
            <w:tcBorders/>
            <w:shd w:fill="E7E7E2" w:val="clear"/>
            <w:vAlign w:val="center"/>
          </w:tcPr>
          <w:p>
            <w:pPr>
              <w:pStyle w:val="TableContents"/>
              <w:bidi w:val="0"/>
              <w:spacing w:before="0" w:after="283"/>
              <w:jc w:val="right"/>
              <w:rPr/>
            </w:pPr>
            <w:r>
              <w:rPr/>
              <w:t xml:space="preserve">$ 307.96 </w:t>
            </w:r>
          </w:p>
        </w:tc>
      </w:tr>
      <w:tr>
        <w:trPr/>
        <w:tc>
          <w:tcPr>
            <w:tcW w:w="4789" w:type="dxa"/>
            <w:gridSpan w:val="5"/>
            <w:tcBorders/>
            <w:vAlign w:val="center"/>
          </w:tcPr>
          <w:p>
            <w:pPr>
              <w:pStyle w:val="TableContents"/>
              <w:bidi w:val="0"/>
              <w:spacing w:before="0" w:after="0"/>
              <w:ind w:left="0" w:right="0" w:hanging="0"/>
              <w:jc w:val="right"/>
              <w:rPr/>
            </w:pPr>
            <w:r>
              <w:rPr/>
              <w:t>Total Offering Amounts:</w:t>
            </w:r>
          </w:p>
        </w:tc>
        <w:tc>
          <w:tcPr>
            <w:tcW w:w="1244"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0"/>
              <w:ind w:left="0" w:right="0" w:hanging="0"/>
              <w:jc w:val="right"/>
              <w:rPr/>
            </w:pPr>
            <w:bookmarkStart w:id="10" w:name="MaxAggtOfferingPrice"/>
            <w:bookmarkEnd w:id="10"/>
            <w:r>
              <w:rPr/>
              <w:t xml:space="preserve">$ 2,230,000.00 </w:t>
            </w:r>
          </w:p>
        </w:tc>
        <w:tc>
          <w:tcPr>
            <w:tcW w:w="1127" w:type="dxa"/>
            <w:tcBorders/>
            <w:vAlign w:val="center"/>
          </w:tcPr>
          <w:p>
            <w:pPr>
              <w:pStyle w:val="TableContents"/>
              <w:bidi w:val="0"/>
              <w:spacing w:before="0" w:after="283"/>
              <w:jc w:val="left"/>
              <w:rPr>
                <w:sz w:val="4"/>
                <w:szCs w:val="4"/>
              </w:rPr>
            </w:pPr>
            <w:r>
              <w:rPr>
                <w:sz w:val="4"/>
                <w:szCs w:val="4"/>
              </w:rPr>
            </w:r>
          </w:p>
        </w:tc>
        <w:tc>
          <w:tcPr>
            <w:tcW w:w="1442"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1" w:name="TotalFeeAmt"/>
            <w:bookmarkEnd w:id="11"/>
            <w:r>
              <w:rPr/>
              <w:t xml:space="preserve">$ 307.96 </w:t>
            </w:r>
          </w:p>
        </w:tc>
      </w:tr>
      <w:tr>
        <w:trPr/>
        <w:tc>
          <w:tcPr>
            <w:tcW w:w="4789" w:type="dxa"/>
            <w:gridSpan w:val="5"/>
            <w:tcBorders/>
            <w:vAlign w:val="center"/>
          </w:tcPr>
          <w:p>
            <w:pPr>
              <w:pStyle w:val="TableContents"/>
              <w:bidi w:val="0"/>
              <w:spacing w:before="0" w:after="0"/>
              <w:ind w:left="0" w:right="0" w:hanging="0"/>
              <w:jc w:val="right"/>
              <w:rPr/>
            </w:pPr>
            <w:r>
              <w:rPr/>
              <w:t xml:space="preserve">Total Fee Offsets: </w:t>
            </w:r>
          </w:p>
        </w:tc>
        <w:tc>
          <w:tcPr>
            <w:tcW w:w="1244"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0"/>
              <w:ind w:left="0" w:right="0" w:hanging="0"/>
              <w:jc w:val="right"/>
              <w:rPr/>
            </w:pPr>
            <w:bookmarkStart w:id="12" w:name="TotalOffsetAmt"/>
            <w:bookmarkEnd w:id="12"/>
            <w:r>
              <w:rPr/>
              <w:t xml:space="preserve">$ 0.00 </w:t>
            </w:r>
          </w:p>
        </w:tc>
      </w:tr>
      <w:tr>
        <w:trPr/>
        <w:tc>
          <w:tcPr>
            <w:tcW w:w="4789" w:type="dxa"/>
            <w:gridSpan w:val="5"/>
            <w:tcBorders/>
            <w:vAlign w:val="center"/>
          </w:tcPr>
          <w:p>
            <w:pPr>
              <w:pStyle w:val="TableContents"/>
              <w:bidi w:val="0"/>
              <w:spacing w:before="0" w:after="0"/>
              <w:ind w:left="0" w:right="0" w:hanging="0"/>
              <w:jc w:val="right"/>
              <w:rPr/>
            </w:pPr>
            <w:r>
              <w:rPr/>
              <w:t xml:space="preserve">Net Fee Due: </w:t>
            </w:r>
          </w:p>
        </w:tc>
        <w:tc>
          <w:tcPr>
            <w:tcW w:w="1244"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0"/>
              <w:ind w:left="0" w:right="0" w:hanging="0"/>
              <w:jc w:val="right"/>
              <w:rPr/>
            </w:pPr>
            <w:bookmarkStart w:id="13" w:name="NetFeeAmt"/>
            <w:bookmarkEnd w:id="13"/>
            <w:r>
              <w:rPr/>
              <w:t xml:space="preserve">$ 307.96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5"/>
        <w:gridCol w:w="8710"/>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(1) Estimated solely for the purpose of calculating the registration fee pursuant to Rules 457(c) and 457(h) under the Securities Act of 1933, as amended (the "Securities Act"). The Proposed Maximum Offering Price Per Share is based on the average of the high and low sales prices of the Registrant's Common Stock as reported on the Nasdaq Capital Market on July 6, 2026, which was $2.31 and $2.15, resulting in an average of $2.23 per share. (2) The registration fee has been calculated in accordance with Rule 457(c) under the Securities Act by multiplying the Proposed Maximum Aggregate Offering Price by the current SEC registration fee rate of $138.10 per $1,000,000. (3) Pursuant to Rule 416(a) under the Securities Act, this Registration Statement also covers any additional shares of Common Stock that may become issuable under the 2020 Equity Incentive Plan, as amended, by reason of stock splits, stock dividends, recapitalizations or similar transactions. (4) The amount registered represents the additional 1,000,000 shares authorized for issuance under the 2020 Equity Incentive Plan pursuant to the amendment approved by the Registrant's stockholders on July 3, 2025. </w:t>
            </w:r>
          </w:p>
        </w:tc>
      </w:tr>
      <w:tr>
        <w:trPr/>
        <w:tc>
          <w:tcPr>
            <w:tcW w:w="1495" w:type="dxa"/>
            <w:gridSpan w:val="2"/>
            <w:tcBorders/>
            <w:vAlign w:val="center"/>
          </w:tcPr>
          <w:p>
            <w:pPr>
              <w:pStyle w:val="HorizontalLine"/>
              <w:pBdr>
                <w:bottom w:val="double" w:sz="2" w:space="0" w:color="808080"/>
              </w:pBdr>
              <w:bidi w:val="0"/>
              <w:spacing w:before="0" w:after="283"/>
              <w:jc w:val="left"/>
              <w:rPr/>
            </w:pPr>
            <w:r>
              <w:rPr/>
            </w:r>
          </w:p>
        </w:tc>
        <w:tc>
          <w:tcPr>
            <w:tcW w:w="8710"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107421/000095017022004972/tcrt-20211231.htm" TargetMode="External"/><Relationship Id="rId3" Type="http://schemas.openxmlformats.org/officeDocument/2006/relationships/hyperlink" Target="https://www.sec.gov/Archives/edgar/data/1107421/000095017022004972/tcrt-ex4_7.htm" TargetMode="External"/><Relationship Id="rId4" Type="http://schemas.openxmlformats.org/officeDocument/2006/relationships/hyperlink" Target="https://www.sec.gov/Archives/edgar/data/1107421/000095017022004972/tcrt-ex4_7.htm" TargetMode="External"/><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3357</Words>
  <Characters>17832</Characters>
  <CharactersWithSpaces>21151</CharactersWithSpaces>
  <Paragraphs>309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