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471"/>
        <w:gridCol w:w="1448"/>
        <w:gridCol w:w="3008"/>
        <w:gridCol w:w="2278"/>
      </w:tblGrid>
      <w:tr>
        <w:trPr/>
        <w:tc>
          <w:tcPr>
            <w:tcW w:w="34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351"/>
            </w:tblGrid>
            <w:tr>
              <w:trPr/>
              <w:tc>
                <w:tcPr>
                  <w:tcW w:w="3351" w:type="dxa"/>
                  <w:tcBorders/>
                  <w:vAlign w:val="center"/>
                </w:tcPr>
                <w:p>
                  <w:pPr>
                    <w:pStyle w:val="TableContents"/>
                    <w:bidi w:val="0"/>
                    <w:spacing w:before="0" w:after="283"/>
                    <w:jc w:val="left"/>
                    <w:rPr/>
                  </w:pPr>
                  <w:hyperlink r:id="rId2">
                    <w:r>
                      <w:rPr>
                        <w:rStyle w:val="InternetLink"/>
                      </w:rPr>
                      <w:t>Fairmount Funds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17"/>
              <w:gridCol w:w="1117"/>
              <w:gridCol w:w="1117"/>
            </w:tblGrid>
            <w:tr>
              <w:trPr/>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351"/>
            </w:tblGrid>
            <w:tr>
              <w:trPr/>
              <w:tc>
                <w:tcPr>
                  <w:tcW w:w="33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3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17"/>
              <w:gridCol w:w="1117"/>
              <w:gridCol w:w="1117"/>
            </w:tblGrid>
            <w:tr>
              <w:trPr/>
              <w:tc>
                <w:tcPr>
                  <w:tcW w:w="11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1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17"/>
              <w:gridCol w:w="1117"/>
              <w:gridCol w:w="1117"/>
            </w:tblGrid>
            <w:tr>
              <w:trPr/>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48"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10/13/2026</w:t>
            </w:r>
          </w:p>
        </w:tc>
        <w:tc>
          <w:tcPr>
            <w:tcW w:w="5286"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Alaunos Therapeutics, Inc.</w:t>
              </w:r>
            </w:hyperlink>
            <w:r>
              <w:rPr/>
              <w:t xml:space="preserve"> [ </w:t>
            </w:r>
            <w:r>
              <w:rPr>
                <w:rFonts w:ascii="Times;serif" w:hAnsi="Times;serif"/>
                <w:color w:val="0000FF"/>
                <w:sz w:val="24"/>
                <w:shd w:fill="FFFFFF" w:val="clear"/>
              </w:rPr>
              <w:t>TCRT</w:t>
            </w:r>
            <w:r>
              <w:rPr/>
              <w:t xml:space="preserve"> ] </w:t>
              <w:br/>
            </w:r>
            <w:r>
              <w:rPr>
                <w:rFonts w:ascii="arial;helvetica;sans-serif" w:hAnsi="arial;helvetica;sans-serif"/>
                <w:sz w:val="20"/>
              </w:rPr>
              <w:t>Foreign Trading Symbol</w:t>
            </w:r>
          </w:p>
        </w:tc>
      </w:tr>
      <w:tr>
        <w:trPr/>
        <w:tc>
          <w:tcPr>
            <w:tcW w:w="3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0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2"/>
              <w:gridCol w:w="1012"/>
              <w:gridCol w:w="432"/>
              <w:gridCol w:w="1012"/>
            </w:tblGrid>
            <w:tr>
              <w:trPr/>
              <w:tc>
                <w:tcPr>
                  <w:tcW w:w="43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88"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278"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4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4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0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278"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23"/>
              <w:gridCol w:w="1835"/>
            </w:tblGrid>
            <w:tr>
              <w:trPr/>
              <w:tc>
                <w:tcPr>
                  <w:tcW w:w="32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8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6"/>
        <w:gridCol w:w="1965"/>
        <w:gridCol w:w="1170"/>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6"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687,789</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Co-Invest VII L.P.</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482"/>
        <w:gridCol w:w="1221"/>
        <w:gridCol w:w="1119"/>
        <w:gridCol w:w="1244"/>
        <w:gridCol w:w="1362"/>
        <w:gridCol w:w="1246"/>
        <w:gridCol w:w="1202"/>
        <w:gridCol w:w="132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4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60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4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36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105,286,000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Fund II L.P.</w:t>
            </w:r>
            <w:r>
              <w:rPr>
                <w:rFonts w:ascii="Times;serif" w:hAnsi="Times;serif"/>
                <w:color w:val="008000"/>
                <w:position w:val="7"/>
                <w:sz w:val="16"/>
                <w:sz w:val="20"/>
                <w:shd w:fill="FFFFFF" w:val="clear"/>
              </w:rPr>
              <w:t>(1)</w:t>
            </w:r>
          </w:p>
        </w:tc>
      </w:tr>
      <w:tr>
        <w:trPr/>
        <w:tc>
          <w:tcPr>
            <w:tcW w:w="14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52,239,000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Fund II L.P.</w:t>
            </w:r>
            <w:r>
              <w:rPr>
                <w:rFonts w:ascii="Times;serif" w:hAnsi="Times;serif"/>
                <w:color w:val="008000"/>
                <w:position w:val="7"/>
                <w:sz w:val="16"/>
                <w:sz w:val="20"/>
                <w:shd w:fill="FFFFFF" w:val="clear"/>
              </w:rPr>
              <w:t>(1)</w:t>
            </w:r>
          </w:p>
        </w:tc>
      </w:tr>
      <w:tr>
        <w:trPr/>
        <w:tc>
          <w:tcPr>
            <w:tcW w:w="14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Preferred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3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16,725,000</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Co-Invest VII L.P.</w:t>
            </w:r>
            <w:r>
              <w:rPr>
                <w:rFonts w:ascii="Times;serif" w:hAnsi="Times;serif"/>
                <w:color w:val="008000"/>
                <w:position w:val="7"/>
                <w:sz w:val="16"/>
                <w:sz w:val="20"/>
                <w:shd w:fill="FFFFFF" w:val="clear"/>
              </w:rPr>
              <w:t>(1)</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Fairmount Funds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Fairmount Healthcare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Fairmount Healthcare Co-Invest VII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Kiselak Tomas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Harwin Peter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Fairmount Funds Management LLC ("Fairmount") is the investment manager for Fairmount Healthcare Fund II L.P. and Fairmount Healthcare Co-Invest VII L.P. Peter Harwin and Tomas Kiselak are the managers of Fairmount. Fairmount, Mr. Harwin, and Mr. Kiselak disclaim beneficial ownership of any of the reported securities,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stockholder approval of the conversion of Series B Preferred Stock into shares of Common Stock and an increase in the number of authorized shares of Common Stock, each share of Series B Preferred Stock will be convertible, at the option of the holder, into 1,000 shares of Common Stock, subject to certain limitations. The Series B Preferred Stock has no expiration date. Fairmount may not convert such shares if Fairmount, together with its affiliates, would beneficially own more than 19.99% of the number of shares of Common Stock outstanding immediately after giving effect to such conversion.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stockholder approval of the conversion of Series C Preferred Stock into shares of Common Stock and an increase in the number of authorized shares of Common Stock, each share of Series C Preferred Stock will automatically convert into 1,000 shares of Common Stock, subject to certain limitations. The Series C Preferred Stock has no expiration date. Such shares will not convert to the extent that Fairmount, together with its affiliates, would beneficially own more than 19.99% of the number of shares of Common Stock outstanding immediately after giving effect to such conversion.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 Fairmount, Fairmount Healthcare Fund II L.P. and Fairmount Healthcare Co-Invest VII L.P. may each be deemed a director by deputization of the Issuer by virtue of the fact that Peter Harwin serves on the board of directors of the Issuer and is a manager of Fairmount.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 Managing Member of Fairmount Funds Management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 Managing Member of Fairmount Healthcare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 Managing Member of Fairmount Healthcare Co-Invest VII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Harwin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alaunos_ex24.htm"/>
      <w:bookmarkStart w:id="3" w:name="ksalaunos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Holger Weis, Ferdinand Groenewald, Ryan A. Murr, and Branden Berns, and any of their substitutes, signing singly,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283"/>
              <w:jc w:val="both"/>
              <w:rPr/>
            </w:pPr>
            <w:r>
              <w:rPr/>
              <w:t>execute for and on behalf of the undersigned, in the undersigned’s capacity as a director and/or officer of Alaunos Therapeutics, Inc. (the “Company”), Forms 3, 4, and 5 in accordance with Section 16(a) of the Securities Exchange Act of 1934, as amended, and the rules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such attorney-in-fact is no longer employed by the Company or its subsidiaries or Gibson, Dunn &amp; Crutcher LLP,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15, 2026.</w:t>
      </w:r>
    </w:p>
    <w:p>
      <w:pPr>
        <w:pStyle w:val="TextBody"/>
        <w:bidi w:val="0"/>
        <w:spacing w:before="0" w:after="0"/>
        <w:ind w:left="0" w:right="0" w:firstLine="5760"/>
        <w:jc w:val="left"/>
        <w:rPr>
          <w:caps w:val="false"/>
          <w:smallCaps w:val="false"/>
        </w:rPr>
      </w:pPr>
      <w:r>
        <w:rPr>
          <w:caps w:val="false"/>
          <w:smallCaps w:val="false"/>
        </w:rPr>
        <w:t> </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57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Peter Harwin                            </w:t>
      </w:r>
    </w:p>
    <w:p>
      <w:pPr>
        <w:pStyle w:val="TextBody"/>
        <w:bidi w:val="0"/>
        <w:spacing w:before="0" w:after="0"/>
        <w:ind w:left="50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Harwin</w:t>
      </w:r>
    </w:p>
    <w:p>
      <w:pPr>
        <w:pStyle w:val="TextBody"/>
        <w:bidi w:val="0"/>
        <w:spacing w:before="0" w:after="0"/>
        <w:ind w:left="504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02528" TargetMode="External"/><Relationship Id="rId3" Type="http://schemas.openxmlformats.org/officeDocument/2006/relationships/hyperlink" Target="http://www.sec.gov/cgi-bin/browse-edgar?action=getcompany&amp;CIK=00011074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hyperlink" Target="http://www.sec.gov/cgi-bin/browse-edgar?action=getcompany&amp;CIK=0001802528" TargetMode="External"/><Relationship Id="rId8" Type="http://schemas.openxmlformats.org/officeDocument/2006/relationships/hyperlink" Target="http://www.sec.gov/cgi-bin/browse-edgar?action=getcompany&amp;CIK=0001769651" TargetMode="External"/><Relationship Id="rId9" Type="http://schemas.openxmlformats.org/officeDocument/2006/relationships/hyperlink" Target="http://www.sec.gov/cgi-bin/browse-edgar?action=getcompany&amp;CIK=0002157639" TargetMode="External"/><Relationship Id="rId10" Type="http://schemas.openxmlformats.org/officeDocument/2006/relationships/hyperlink" Target="http://www.sec.gov/cgi-bin/browse-edgar?action=getcompany&amp;CIK=0001830177" TargetMode="External"/><Relationship Id="rId11" Type="http://schemas.openxmlformats.org/officeDocument/2006/relationships/hyperlink" Target="http://www.sec.gov/cgi-bin/browse-edgar?action=getcompany&amp;CIK=000166360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1448</Words>
  <Characters>7765</Characters>
  <CharactersWithSpaces>9084</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