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crt-20251231.htm"/>
      <w:bookmarkStart w:id="1" w:name="kstcrt2025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29"/>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9"/>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10" w:after="283"/>
        <w:jc w:val="center"/>
        <w:rPr>
          <w:rFonts w:ascii="Times New Roman" w:hAnsi="Times New Roman"/>
          <w:sz w:val="20"/>
        </w:rPr>
      </w:pPr>
      <w:r>
        <w:rPr>
          <w:rFonts w:ascii="Times New Roman" w:hAnsi="Times New Roman"/>
          <w:b/>
          <w:color w:val="000000"/>
          <w:sz w:val="29"/>
        </w:rPr>
        <w:t>FORM 10-K</w:t>
      </w:r>
      <w:r>
        <w:rPr>
          <w:rFonts w:ascii="Times New Roman" w:hAnsi="Times New Roman"/>
          <w:color w:val="000000"/>
          <w:sz w:val="20"/>
        </w:rPr>
        <w:t xml:space="preserve"> </w:t>
      </w:r>
    </w:p>
    <w:tbl>
      <w:tblPr>
        <w:tblW w:w="9272" w:type="dxa"/>
        <w:jc w:val="left"/>
        <w:tblInd w:w="0" w:type="dxa"/>
        <w:tblLayout w:type="fixed"/>
        <w:tblCellMar>
          <w:top w:w="28" w:type="dxa"/>
          <w:left w:w="28" w:type="dxa"/>
          <w:bottom w:w="28" w:type="dxa"/>
          <w:right w:w="28" w:type="dxa"/>
        </w:tblCellMar>
      </w:tblPr>
      <w:tblGrid>
        <w:gridCol w:w="331"/>
        <w:gridCol w:w="8941"/>
      </w:tblGrid>
      <w:tr>
        <w:trPr/>
        <w:tc>
          <w:tcPr>
            <w:tcW w:w="331" w:type="dxa"/>
            <w:tcBorders/>
            <w:vAlign w:val="center"/>
          </w:tcPr>
          <w:p>
            <w:pPr>
              <w:pStyle w:val="TableContents"/>
              <w:bidi w:val="0"/>
              <w:spacing w:before="0" w:after="283"/>
              <w:jc w:val="left"/>
              <w:rPr>
                <w:sz w:val="4"/>
                <w:szCs w:val="4"/>
              </w:rPr>
            </w:pPr>
            <w:r>
              <w:rPr>
                <w:sz w:val="4"/>
                <w:szCs w:val="4"/>
              </w:rPr>
            </w:r>
          </w:p>
        </w:tc>
        <w:tc>
          <w:tcPr>
            <w:tcW w:w="89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10" w:after="283"/>
              <w:jc w:val="left"/>
              <w:rPr>
                <w:color w:val="000000"/>
              </w:rPr>
            </w:pPr>
            <w:r>
              <w:rPr>
                <w:color w:val="000000"/>
              </w:rPr>
              <w:t>☒</w:t>
            </w:r>
          </w:p>
        </w:tc>
        <w:tc>
          <w:tcPr>
            <w:tcW w:w="8941" w:type="dxa"/>
            <w:tcBorders/>
            <w:tcMar>
              <w:top w:w="0" w:type="dxa"/>
              <w:left w:w="0" w:type="dxa"/>
              <w:bottom w:w="0" w:type="dxa"/>
              <w:right w:w="0" w:type="dxa"/>
            </w:tcMar>
            <w:vAlign w:val="center"/>
          </w:tcPr>
          <w:p>
            <w:pPr>
              <w:pStyle w:val="TableContents"/>
              <w:bidi w:val="0"/>
              <w:spacing w:before="110" w:after="283"/>
              <w:jc w:val="left"/>
              <w:rPr>
                <w:rFonts w:ascii="Times New Roman" w:hAnsi="Times New Roman"/>
                <w:sz w:val="20"/>
              </w:rPr>
            </w:pPr>
            <w:r>
              <w:rPr>
                <w:rFonts w:ascii="Times New Roman" w:hAnsi="Times New Roman"/>
                <w:b/>
                <w:color w:val="000000"/>
                <w:sz w:val="20"/>
              </w:rPr>
              <w:t>ANNUAL REPORT UNDER SECTION 13 OR 15(d) OF THE SECURITIES EXCHANGE ACT OF 1934</w:t>
            </w:r>
            <w:r>
              <w:rPr>
                <w:rFonts w:ascii="Times New Roman" w:hAnsi="Times New Roman"/>
                <w:color w:val="000000"/>
                <w:sz w:val="20"/>
              </w:rPr>
              <w:t xml:space="preserve"> </w:t>
            </w:r>
          </w:p>
        </w:tc>
      </w:tr>
    </w:tbl>
    <w:p>
      <w:pPr>
        <w:pStyle w:val="TextBody"/>
        <w:bidi w:val="0"/>
        <w:spacing w:before="110" w:after="283"/>
        <w:jc w:val="center"/>
        <w:rPr>
          <w:rFonts w:ascii="Times New Roman" w:hAnsi="Times New Roman"/>
          <w:b/>
          <w:color w:val="000000"/>
          <w:sz w:val="15"/>
        </w:rPr>
      </w:pPr>
      <w:r>
        <w:rPr>
          <w:rFonts w:ascii="Times New Roman" w:hAnsi="Times New Roman"/>
          <w:b/>
          <w:color w:val="000000"/>
          <w:sz w:val="15"/>
        </w:rPr>
        <w:t>For the fiscal year ended December 31, 2025</w:t>
      </w:r>
    </w:p>
    <w:p>
      <w:pPr>
        <w:pStyle w:val="TextBody"/>
        <w:bidi w:val="0"/>
        <w:spacing w:before="110" w:after="283"/>
        <w:jc w:val="center"/>
        <w:rPr>
          <w:rFonts w:ascii="Times New Roman" w:hAnsi="Times New Roman"/>
          <w:sz w:val="20"/>
        </w:rPr>
      </w:pPr>
      <w:r>
        <w:rPr>
          <w:rFonts w:ascii="Times New Roman" w:hAnsi="Times New Roman"/>
          <w:b/>
          <w:color w:val="000000"/>
          <w:sz w:val="15"/>
        </w:rPr>
        <w:t>OR</w:t>
      </w:r>
      <w:r>
        <w:rPr>
          <w:rFonts w:ascii="Times New Roman" w:hAnsi="Times New Roman"/>
          <w:color w:val="000000"/>
          <w:sz w:val="20"/>
        </w:rPr>
        <w:t xml:space="preserve"> </w:t>
      </w:r>
    </w:p>
    <w:tbl>
      <w:tblPr>
        <w:tblW w:w="9677" w:type="dxa"/>
        <w:jc w:val="left"/>
        <w:tblInd w:w="0" w:type="dxa"/>
        <w:tblLayout w:type="fixed"/>
        <w:tblCellMar>
          <w:top w:w="28" w:type="dxa"/>
          <w:left w:w="28" w:type="dxa"/>
          <w:bottom w:w="28" w:type="dxa"/>
          <w:right w:w="28" w:type="dxa"/>
        </w:tblCellMar>
      </w:tblPr>
      <w:tblGrid>
        <w:gridCol w:w="331"/>
        <w:gridCol w:w="9346"/>
      </w:tblGrid>
      <w:tr>
        <w:trPr/>
        <w:tc>
          <w:tcPr>
            <w:tcW w:w="331" w:type="dxa"/>
            <w:tcBorders/>
            <w:vAlign w:val="center"/>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10" w:after="283"/>
              <w:jc w:val="left"/>
              <w:rPr>
                <w:color w:val="000000"/>
              </w:rPr>
            </w:pPr>
            <w:r>
              <w:rPr>
                <w:color w:val="000000"/>
              </w:rPr>
              <w:t>☐</w:t>
            </w:r>
          </w:p>
        </w:tc>
        <w:tc>
          <w:tcPr>
            <w:tcW w:w="9346" w:type="dxa"/>
            <w:tcBorders/>
            <w:tcMar>
              <w:top w:w="0" w:type="dxa"/>
              <w:left w:w="0" w:type="dxa"/>
              <w:bottom w:w="0" w:type="dxa"/>
              <w:right w:w="0" w:type="dxa"/>
            </w:tcMar>
            <w:vAlign w:val="center"/>
          </w:tcPr>
          <w:p>
            <w:pPr>
              <w:pStyle w:val="TableContents"/>
              <w:bidi w:val="0"/>
              <w:spacing w:before="110" w:after="283"/>
              <w:jc w:val="left"/>
              <w:rPr>
                <w:rFonts w:ascii="Times New Roman" w:hAnsi="Times New Roman"/>
                <w:sz w:val="20"/>
              </w:rPr>
            </w:pPr>
            <w:r>
              <w:rPr>
                <w:rFonts w:ascii="Times New Roman" w:hAnsi="Times New Roman"/>
                <w:b/>
                <w:color w:val="000000"/>
                <w:sz w:val="20"/>
              </w:rPr>
              <w:t>TRANSITION REPORT UNDER SECTION 13 OR 15(d) OF THE SECURITIES EXCHANGE ACT OF 1934</w:t>
            </w:r>
            <w:r>
              <w:rPr>
                <w:rFonts w:ascii="Times New Roman" w:hAnsi="Times New Roman"/>
                <w:color w:val="000000"/>
                <w:sz w:val="20"/>
              </w:rPr>
              <w:t xml:space="preserve"> </w:t>
            </w:r>
          </w:p>
        </w:tc>
      </w:tr>
    </w:tbl>
    <w:p>
      <w:pPr>
        <w:pStyle w:val="TextBody"/>
        <w:bidi w:val="0"/>
        <w:spacing w:before="110" w:after="283"/>
        <w:jc w:val="center"/>
        <w:rPr>
          <w:rFonts w:ascii="Times New Roman" w:hAnsi="Times New Roman"/>
          <w:sz w:val="20"/>
        </w:rPr>
      </w:pPr>
      <w:r>
        <w:rPr>
          <w:rFonts w:ascii="Times New Roman" w:hAnsi="Times New Roman"/>
          <w:b/>
          <w:color w:val="000000"/>
          <w:sz w:val="15"/>
        </w:rPr>
        <w:t>For the transition period from _______ to _______</w:t>
      </w:r>
      <w:r>
        <w:rPr>
          <w:rFonts w:ascii="Times New Roman" w:hAnsi="Times New Roman"/>
          <w:color w:val="000000"/>
          <w:sz w:val="20"/>
        </w:rPr>
        <w:t xml:space="preserve"> </w:t>
      </w:r>
    </w:p>
    <w:p>
      <w:pPr>
        <w:pStyle w:val="TextBody"/>
        <w:bidi w:val="0"/>
        <w:spacing w:before="110" w:after="283"/>
        <w:jc w:val="center"/>
        <w:rPr>
          <w:rFonts w:ascii="Times New Roman" w:hAnsi="Times New Roman"/>
          <w:sz w:val="20"/>
        </w:rPr>
      </w:pPr>
      <w:r>
        <w:rPr>
          <w:rFonts w:ascii="Times New Roman" w:hAnsi="Times New Roman"/>
          <w:b/>
          <w:color w:val="000000"/>
          <w:sz w:val="15"/>
        </w:rPr>
        <w:t>Commission File Number 001-33038</w:t>
      </w:r>
      <w:r>
        <w:rPr>
          <w:rFonts w:ascii="Times New Roman" w:hAnsi="Times New Roman"/>
          <w:color w:val="000000"/>
          <w:sz w:val="20"/>
        </w:rPr>
        <w:t xml:space="preserve"> </w:t>
      </w:r>
    </w:p>
    <w:p>
      <w:pPr>
        <w:pStyle w:val="TextBody"/>
        <w:bidi w:val="0"/>
        <w:spacing w:before="110" w:after="283"/>
        <w:jc w:val="center"/>
        <w:rPr>
          <w:rFonts w:ascii="Times New Roman" w:hAnsi="Times New Roman"/>
          <w:sz w:val="20"/>
        </w:rPr>
      </w:pPr>
      <w:r>
        <w:rPr>
          <w:rFonts w:ascii="Times New Roman" w:hAnsi="Times New Roman"/>
          <w:b/>
          <w:color w:val="000000"/>
          <w:sz w:val="40"/>
        </w:rPr>
        <w:t>Alaunos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bidi w:val="0"/>
        <w:jc w:val="center"/>
        <w:rPr/>
      </w:pPr>
      <w:r>
        <w:rPr/>
        <w:t> </w:t>
      </w:r>
    </w:p>
    <w:tbl>
      <w:tblPr>
        <w:tblW w:w="3883" w:type="dxa"/>
        <w:jc w:val="left"/>
        <w:tblInd w:w="0" w:type="dxa"/>
        <w:tblLayout w:type="fixed"/>
        <w:tblCellMar>
          <w:top w:w="28" w:type="dxa"/>
          <w:left w:w="28" w:type="dxa"/>
          <w:bottom w:w="28" w:type="dxa"/>
          <w:right w:w="28" w:type="dxa"/>
        </w:tblCellMar>
      </w:tblPr>
      <w:tblGrid>
        <w:gridCol w:w="2491"/>
        <w:gridCol w:w="146"/>
        <w:gridCol w:w="1246"/>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84-1475642</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91"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15"/>
              </w:rPr>
              <w:t>501 E. Las Olas Blvd.,</w:t>
            </w:r>
            <w:r>
              <w:rPr>
                <w:rFonts w:ascii="Times New Roman" w:hAnsi="Times New Roman"/>
                <w:color w:val="000000"/>
                <w:sz w:val="20"/>
              </w:rPr>
              <w:t xml:space="preserve"> </w:t>
            </w:r>
            <w:r>
              <w:rPr>
                <w:rFonts w:ascii="Times New Roman" w:hAnsi="Times New Roman"/>
                <w:b/>
                <w:color w:val="000000"/>
                <w:sz w:val="15"/>
              </w:rPr>
              <w:t>Suite 300</w:t>
            </w:r>
          </w:p>
          <w:p>
            <w:pPr>
              <w:pStyle w:val="TableContents"/>
              <w:bidi w:val="0"/>
              <w:spacing w:before="0" w:after="283"/>
              <w:jc w:val="center"/>
              <w:rPr>
                <w:rFonts w:ascii="Times New Roman" w:hAnsi="Times New Roman"/>
                <w:sz w:val="20"/>
              </w:rPr>
            </w:pPr>
            <w:r>
              <w:rPr>
                <w:rFonts w:ascii="Times New Roman" w:hAnsi="Times New Roman"/>
                <w:b/>
                <w:color w:val="000000"/>
                <w:sz w:val="15"/>
              </w:rPr>
              <w:t>Fort Lauderdale,</w:t>
            </w:r>
            <w:r>
              <w:rPr>
                <w:rFonts w:ascii="Times New Roman" w:hAnsi="Times New Roman"/>
                <w:color w:val="000000"/>
                <w:sz w:val="20"/>
              </w:rPr>
              <w:t xml:space="preserve"> </w:t>
            </w:r>
            <w:r>
              <w:rPr>
                <w:rFonts w:ascii="Times New Roman" w:hAnsi="Times New Roman"/>
                <w:b/>
                <w:color w:val="000000"/>
                <w:sz w:val="15"/>
              </w:rPr>
              <w:t>FL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33301</w:t>
            </w:r>
          </w:p>
        </w:tc>
      </w:tr>
      <w:tr>
        <w:trPr/>
        <w:tc>
          <w:tcPr>
            <w:tcW w:w="24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110" w:after="283"/>
        <w:jc w:val="center"/>
        <w:rPr>
          <w:rFonts w:ascii="Times New Roman" w:hAnsi="Times New Roman"/>
          <w:sz w:val="20"/>
        </w:rPr>
      </w:pPr>
      <w:r>
        <w:rPr>
          <w:rFonts w:ascii="Times New Roman" w:hAnsi="Times New Roman"/>
          <w:b/>
          <w:color w:val="000000"/>
          <w:sz w:val="15"/>
        </w:rPr>
        <w:t>(346) 355-4099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(Registrant’s Telephone Number, Including Area Code)</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spacing w:before="110" w:after="283"/>
        <w:jc w:val="center"/>
        <w:rPr>
          <w:rFonts w:ascii="Times New Roman" w:hAnsi="Times New Roman"/>
          <w:sz w:val="20"/>
        </w:rPr>
      </w:pPr>
      <w:r>
        <w:rPr>
          <w:rFonts w:ascii="Times New Roman" w:hAnsi="Times New Roman"/>
          <w:b/>
          <w:color w:val="000000"/>
          <w:sz w:val="15"/>
        </w:rPr>
        <w:t>Securities registered pursuant to Section 12(b) of the Act:</w:t>
      </w:r>
      <w:r>
        <w:rPr>
          <w:rFonts w:ascii="Times New Roman" w:hAnsi="Times New Roman"/>
          <w:color w:val="000000"/>
          <w:sz w:val="20"/>
        </w:rPr>
        <w:t xml:space="preserve"> </w:t>
      </w:r>
    </w:p>
    <w:p>
      <w:pPr>
        <w:pStyle w:val="TextBody"/>
        <w:bidi w:val="0"/>
        <w:jc w:val="center"/>
        <w:rPr/>
      </w:pPr>
      <w:r>
        <w:rPr/>
        <w:t> </w:t>
      </w:r>
    </w:p>
    <w:tbl>
      <w:tblPr>
        <w:tblW w:w="4780" w:type="dxa"/>
        <w:jc w:val="left"/>
        <w:tblInd w:w="0" w:type="dxa"/>
        <w:tblLayout w:type="fixed"/>
        <w:tblCellMar>
          <w:top w:w="28" w:type="dxa"/>
          <w:left w:w="28" w:type="dxa"/>
          <w:bottom w:w="28" w:type="dxa"/>
          <w:right w:w="28" w:type="dxa"/>
        </w:tblCellMar>
      </w:tblPr>
      <w:tblGrid>
        <w:gridCol w:w="1186"/>
        <w:gridCol w:w="146"/>
        <w:gridCol w:w="1231"/>
        <w:gridCol w:w="146"/>
        <w:gridCol w:w="207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 on which</w:t>
              <w:br/>
              <w:t>registered</w:t>
            </w:r>
          </w:p>
        </w:tc>
      </w:tr>
      <w:tr>
        <w:trPr/>
        <w:tc>
          <w:tcPr>
            <w:tcW w:w="11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TCRT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5"/>
              </w:rPr>
              <w:t>The Nasdaq</w:t>
            </w:r>
            <w:r>
              <w:rPr>
                <w:rFonts w:ascii="Times New Roman" w:hAnsi="Times New Roman"/>
                <w:color w:val="000000"/>
                <w:sz w:val="20"/>
              </w:rPr>
              <w:t> </w:t>
            </w:r>
            <w:r>
              <w:rPr>
                <w:rFonts w:ascii="Times New Roman" w:hAnsi="Times New Roman"/>
                <w:b/>
                <w:color w:val="000000"/>
                <w:sz w:val="15"/>
              </w:rPr>
              <w:t>Capital Market</w:t>
            </w:r>
          </w:p>
        </w:tc>
      </w:tr>
    </w:tbl>
    <w:p>
      <w:pPr>
        <w:pStyle w:val="TextBody"/>
        <w:bidi w:val="0"/>
        <w:spacing w:before="120" w:after="283"/>
        <w:jc w:val="center"/>
        <w:rPr>
          <w:rFonts w:ascii="Times New Roman" w:hAnsi="Times New Roman"/>
          <w:sz w:val="20"/>
        </w:rPr>
      </w:pPr>
      <w:r>
        <w:rPr>
          <w:rFonts w:ascii="Times New Roman" w:hAnsi="Times New Roman"/>
          <w:b/>
          <w:color w:val="000000"/>
          <w:sz w:val="15"/>
        </w:rPr>
        <w:t>Securities registered pursuant to Section 12(g) of the Act: None</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if the registrant is not required to file reports pursuant to Section 13 or 15(d) of the Act. Yes ☐ No</w:t>
      </w:r>
      <w:r>
        <w:rPr>
          <w:rFonts w:ascii="Times New Roman" w:hAnsi="Times New Roman"/>
          <w:color w:val="000000"/>
          <w:sz w:val="20"/>
        </w:rPr>
        <w:t xml:space="preserve"> ☑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5"/>
        </w:rPr>
        <w:t>No ☐</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5"/>
        </w:rPr>
        <w:t>No ☐</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is a large accelerated filer, an accelerated filer, a non-accelerated filer or a smaller reporting company. See definition of “large accelerated filer,” “accelerate filer” and “smaller reporting company” in Rule 12b-2 of the Exchange Act. (Check one):</w:t>
      </w:r>
      <w:r>
        <w:rPr>
          <w:rFonts w:ascii="Times New Roman" w:hAnsi="Times New Roman"/>
          <w:color w:val="000000"/>
          <w:sz w:val="20"/>
        </w:rPr>
        <w:t xml:space="preserve"> </w:t>
      </w:r>
    </w:p>
    <w:p>
      <w:pPr>
        <w:pStyle w:val="TextBody"/>
        <w:bidi w:val="0"/>
        <w:jc w:val="left"/>
        <w:rPr/>
      </w:pPr>
      <w:r>
        <w:rPr/>
        <w:t> </w:t>
      </w:r>
    </w:p>
    <w:tbl>
      <w:tblPr>
        <w:tblW w:w="4462" w:type="dxa"/>
        <w:jc w:val="left"/>
        <w:tblInd w:w="0" w:type="dxa"/>
        <w:tblLayout w:type="fixed"/>
        <w:tblCellMar>
          <w:top w:w="28" w:type="dxa"/>
          <w:left w:w="28" w:type="dxa"/>
          <w:bottom w:w="28" w:type="dxa"/>
          <w:right w:w="28" w:type="dxa"/>
        </w:tblCellMar>
      </w:tblPr>
      <w:tblGrid>
        <w:gridCol w:w="1501"/>
        <w:gridCol w:w="146"/>
        <w:gridCol w:w="316"/>
        <w:gridCol w:w="146"/>
        <w:gridCol w:w="1846"/>
        <w:gridCol w:w="146"/>
        <w:gridCol w:w="36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5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10" w:after="283"/>
        <w:jc w:val="left"/>
        <w:rPr>
          <w:rFonts w:ascii="Times New Roman" w:hAnsi="Times New Roman"/>
          <w:sz w:val="20"/>
        </w:rPr>
      </w:pPr>
      <w:r>
        <w:rPr>
          <w:rFonts w:ascii="Times New Roman" w:hAnsi="Times New Roman"/>
          <w:color w:val="000000"/>
          <w:sz w:val="15"/>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rFonts w:ascii="Times New Roman" w:hAnsi="Times New Roman"/>
          <w:color w:val="000000"/>
          <w:sz w:val="20"/>
        </w:rPr>
        <w:t xml:space="preserve"> ☐</w:t>
      </w:r>
    </w:p>
    <w:p>
      <w:pPr>
        <w:pStyle w:val="TextBody"/>
        <w:bidi w:val="0"/>
        <w:spacing w:before="110" w:after="283"/>
        <w:jc w:val="left"/>
        <w:rPr>
          <w:rFonts w:ascii="Times New Roman" w:hAnsi="Times New Roman"/>
          <w:sz w:val="20"/>
        </w:rPr>
      </w:pPr>
      <w:r>
        <w:rPr>
          <w:rFonts w:ascii="Times New Roman" w:hAnsi="Times New Roman"/>
          <w:color w:val="000000"/>
          <w:sz w:val="15"/>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110" w:after="283"/>
        <w:jc w:val="left"/>
        <w:rPr>
          <w:rFonts w:ascii="Times New Roman" w:hAnsi="Times New Roman"/>
          <w:color w:val="000000"/>
          <w:sz w:val="15"/>
        </w:rPr>
      </w:pPr>
      <w:r>
        <w:rPr>
          <w:rFonts w:ascii="Times New Roman" w:hAnsi="Times New Roman"/>
          <w:color w:val="000000"/>
          <w:sz w:val="15"/>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110" w:after="283"/>
        <w:jc w:val="left"/>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5"/>
        </w:rPr>
        <w:t>The aggregate market value of the registrant’s common stock held by non-affiliates was $9,608,631</w:t>
      </w:r>
      <w:r>
        <w:rPr>
          <w:rFonts w:ascii="Times New Roman" w:hAnsi="Times New Roman"/>
          <w:color w:val="000000"/>
          <w:sz w:val="20"/>
        </w:rPr>
        <w:t xml:space="preserve"> </w:t>
      </w:r>
      <w:r>
        <w:rPr>
          <w:rFonts w:ascii="Times New Roman" w:hAnsi="Times New Roman"/>
          <w:color w:val="000000"/>
          <w:sz w:val="15"/>
        </w:rPr>
        <w:t>on June 30, 2025 (the last business day of the registrant’s most recently completed second fiscal quarter), based on a total of 1,981,161 shares of common stock held by non-affiliates and a closing price of $4.85 as reported on the Nasdaq Capital Market on June 30, 2025.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bidi w:val="0"/>
        <w:spacing w:before="110" w:after="283"/>
        <w:jc w:val="left"/>
        <w:rPr>
          <w:rFonts w:ascii="Times New Roman" w:hAnsi="Times New Roman"/>
          <w:sz w:val="20"/>
        </w:rPr>
      </w:pPr>
      <w:r>
        <w:rPr>
          <w:rFonts w:ascii="Times New Roman" w:hAnsi="Times New Roman"/>
          <w:color w:val="000000"/>
          <w:sz w:val="15"/>
        </w:rPr>
        <w:t>As of March 31, 2026, there were 2,378,253</w:t>
      </w:r>
      <w:r>
        <w:rPr>
          <w:rFonts w:ascii="Times New Roman" w:hAnsi="Times New Roman"/>
          <w:color w:val="000000"/>
          <w:sz w:val="20"/>
        </w:rPr>
        <w:t xml:space="preserve"> </w:t>
      </w:r>
      <w:r>
        <w:rPr>
          <w:rFonts w:ascii="Times New Roman" w:hAnsi="Times New Roman"/>
          <w:color w:val="000000"/>
          <w:sz w:val="15"/>
        </w:rPr>
        <w:t>shares of the registrant’s common stock, $0.001 par value per share, outstanding.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DOCUMENTS INCORPORATED BY REFERENCE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Portions of the Proxy Statement for the Registrant's 2026 Annual Meeting of Stockholders are incorporated by reference into Part III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Alaunos Therapeutics, Inc.</w:t>
      </w:r>
      <w:r>
        <w:rPr>
          <w:rFonts w:ascii="Times New Roman" w:hAnsi="Times New Roman"/>
          <w:color w:val="000000"/>
          <w:sz w:val="20"/>
        </w:rPr>
        <w:t xml:space="preserve"> </w:t>
      </w:r>
    </w:p>
    <w:p>
      <w:pPr>
        <w:pStyle w:val="TextBody"/>
        <w:bidi w:val="0"/>
        <w:jc w:val="center"/>
        <w:rPr>
          <w:rFonts w:ascii="Times New Roman" w:hAnsi="Times New Roman"/>
          <w:color w:val="000000"/>
          <w:sz w:val="18"/>
        </w:rPr>
      </w:pPr>
      <w:r>
        <w:rPr>
          <w:rFonts w:ascii="Times New Roman" w:hAnsi="Times New Roman"/>
          <w:color w:val="000000"/>
          <w:sz w:val="18"/>
        </w:rPr>
        <w:t>ANNUAL REPORT ON FORM 10-K</w:t>
      </w:r>
    </w:p>
    <w:p>
      <w:pPr>
        <w:pStyle w:val="TextBody"/>
        <w:bidi w:val="0"/>
        <w:jc w:val="center"/>
        <w:rPr>
          <w:rFonts w:ascii="Times New Roman" w:hAnsi="Times New Roman"/>
          <w:sz w:val="20"/>
        </w:rPr>
      </w:pPr>
      <w:r>
        <w:rPr>
          <w:rFonts w:ascii="Times New Roman" w:hAnsi="Times New Roman"/>
          <w:color w:val="000000"/>
          <w:sz w:val="18"/>
        </w:rPr>
        <w:t>FOR THE FISCAL YEAR ENDED DECEMBER 31, 2025</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bookmarkStart w:id="2" w:name="toc_page"/>
      <w:bookmarkEnd w:id="2"/>
      <w:r>
        <w:rPr>
          <w:rFonts w:ascii="Times New Roman" w:hAnsi="Times New Roman"/>
          <w:color w:val="000000"/>
          <w:sz w:val="18"/>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72"/>
        <w:gridCol w:w="346"/>
        <w:gridCol w:w="7745"/>
        <w:gridCol w:w="146"/>
        <w:gridCol w:w="146"/>
        <w:gridCol w:w="357"/>
        <w:gridCol w:w="393"/>
      </w:tblGrid>
      <w:tr>
        <w:trPr/>
        <w:tc>
          <w:tcPr>
            <w:tcW w:w="10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3"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Page</w:t>
            </w:r>
          </w:p>
        </w:tc>
        <w:tc>
          <w:tcPr>
            <w:tcW w:w="393" w:type="dxa"/>
            <w:tcBorders>
              <w:bottom w:val="single" w:sz="8" w:space="0" w:color="000000"/>
            </w:tcBorders>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9163"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PART 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18"/>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a_risk_factors_">
              <w:r>
                <w:rPr>
                  <w:rStyle w:val="InternetLink"/>
                  <w:rFonts w:ascii="Times New Roman" w:hAnsi="Times New Roman"/>
                  <w:color w:val="0000FF"/>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1B.</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b_unresolved_staff_comments_">
              <w:r>
                <w:rPr>
                  <w:rStyle w:val="InternetLink"/>
                  <w:rFonts w:ascii="Times New Roman" w:hAnsi="Times New Roman"/>
                  <w:color w:val="0000FF"/>
                  <w:sz w:val="18"/>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IC.</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c_cybersecurity">
              <w:r>
                <w:rPr>
                  <w:rStyle w:val="InternetLink"/>
                  <w:rFonts w:ascii="Times New Roman" w:hAnsi="Times New Roman"/>
                  <w:color w:val="0000FF"/>
                  <w:sz w:val="18"/>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2.</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2_properties">
              <w:r>
                <w:rPr>
                  <w:rStyle w:val="InternetLink"/>
                  <w:rFonts w:ascii="Times New Roman" w:hAnsi="Times New Roman"/>
                  <w:color w:val="0000FF"/>
                  <w:sz w:val="18"/>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3_legal_proceedings">
              <w:r>
                <w:rPr>
                  <w:rStyle w:val="InternetLink"/>
                  <w:rFonts w:ascii="Times New Roman" w:hAnsi="Times New Roman"/>
                  <w:color w:val="0000FF"/>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4_mine_safety_disclosures">
              <w:r>
                <w:rPr>
                  <w:rStyle w:val="InternetLink"/>
                  <w:rFonts w:ascii="Times New Roman" w:hAnsi="Times New Roman"/>
                  <w:color w:val="0000FF"/>
                  <w:sz w:val="18"/>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PART II</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5.</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
              <w:r>
                <w:rPr>
                  <w:rStyle w:val="InternetLink"/>
                  <w:rFonts w:ascii="Times New Roman" w:hAnsi="Times New Roman"/>
                  <w:color w:val="0000FF"/>
                  <w:sz w:val="18"/>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6.</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6_reserved">
              <w:r>
                <w:rPr>
                  <w:rStyle w:val="InternetLink"/>
                  <w:rFonts w:ascii="Times New Roman" w:hAnsi="Times New Roman"/>
                  <w:color w:val="0000FF"/>
                  <w:sz w:val="18"/>
                  <w:u w:val="single"/>
                </w:rPr>
                <w:t>[Reserved]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7.</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7_management_discussion_and_analys">
              <w:r>
                <w:rPr>
                  <w:rStyle w:val="InternetLink"/>
                  <w:rFonts w:ascii="Times New Roman" w:hAnsi="Times New Roman"/>
                  <w:color w:val="0000FF"/>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7A.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7a_quantitative_and_qualitative">
              <w:r>
                <w:rPr>
                  <w:rStyle w:val="InternetLink"/>
                  <w:rFonts w:ascii="Times New Roman" w:hAnsi="Times New Roman"/>
                  <w:color w:val="0000FF"/>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8.</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8_financial_statements">
              <w:r>
                <w:rPr>
                  <w:rStyle w:val="InternetLink"/>
                  <w:rFonts w:ascii="Times New Roman" w:hAnsi="Times New Roman"/>
                  <w:color w:val="0000FF"/>
                  <w:sz w:val="18"/>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9.</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18"/>
                  <w:u w:val="single"/>
                </w:rPr>
                <w:t>Changes in and Disagreements with Accountants on Accounting and Financial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9A.</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a_controls_and_procedures">
              <w:r>
                <w:rPr>
                  <w:rStyle w:val="InternetLink"/>
                  <w:rFonts w:ascii="Times New Roman" w:hAnsi="Times New Roman"/>
                  <w:color w:val="0000FF"/>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9B.</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9b_other_information">
              <w:r>
                <w:rPr>
                  <w:rStyle w:val="InternetLink"/>
                  <w:rFonts w:ascii="Times New Roman" w:hAnsi="Times New Roman"/>
                  <w:color w:val="0000FF"/>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9C</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
              <w:r>
                <w:rPr>
                  <w:rStyle w:val="InternetLink"/>
                  <w:rFonts w:ascii="Times New Roman" w:hAnsi="Times New Roman"/>
                  <w:color w:val="0000FF"/>
                  <w:sz w:val="18"/>
                  <w:u w:val="single"/>
                </w:rPr>
                <w:t>Disclosure Regarding Foreign Jurisdictions that Prevent Inspections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PART III</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10.</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
              <w:r>
                <w:rPr>
                  <w:rStyle w:val="InternetLink"/>
                  <w:rFonts w:ascii="Times New Roman" w:hAnsi="Times New Roman"/>
                  <w:color w:val="0000FF"/>
                  <w:sz w:val="18"/>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11.</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1_executive_compensation">
              <w:r>
                <w:rPr>
                  <w:rStyle w:val="InternetLink"/>
                  <w:rFonts w:ascii="Times New Roman" w:hAnsi="Times New Roman"/>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12.</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12_security_ownership">
              <w:r>
                <w:rPr>
                  <w:rStyle w:val="InternetLink"/>
                  <w:rFonts w:ascii="Times New Roman" w:hAnsi="Times New Roman"/>
                  <w:color w:val="0000FF"/>
                  <w:sz w:val="18"/>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13.</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3_certain_relationships">
              <w:r>
                <w:rPr>
                  <w:rStyle w:val="InternetLink"/>
                  <w:rFonts w:ascii="Times New Roman" w:hAnsi="Times New Roman"/>
                  <w:color w:val="0000FF"/>
                  <w:sz w:val="18"/>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14.</w:t>
            </w:r>
          </w:p>
        </w:tc>
        <w:tc>
          <w:tcPr>
            <w:tcW w:w="34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ind w:left="0" w:right="0" w:firstLine="200"/>
              <w:jc w:val="left"/>
              <w:rPr/>
            </w:pPr>
            <w:hyperlink w:anchor="item_14_principal_accountant">
              <w:r>
                <w:rPr>
                  <w:rStyle w:val="InternetLink"/>
                  <w:rFonts w:ascii="Times New Roman" w:hAnsi="Times New Roman"/>
                  <w:color w:val="0000FF"/>
                  <w:sz w:val="18"/>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8"/>
              </w:rPr>
            </w:pPr>
            <w:r>
              <w:rPr>
                <w:rFonts w:ascii="Times New Roman" w:hAnsi="Times New Roman"/>
                <w:b/>
                <w:color w:val="000000"/>
                <w:sz w:val="18"/>
              </w:rPr>
              <w:t>PART IV</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809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042" w:type="dxa"/>
            <w:gridSpan w:val="4"/>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15.</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15_exhibits">
              <w:r>
                <w:rPr>
                  <w:rStyle w:val="InternetLink"/>
                  <w:rFonts w:ascii="Times New Roman" w:hAnsi="Times New Roman"/>
                  <w:color w:val="0000FF"/>
                  <w:sz w:val="18"/>
                  <w:u w:val="single"/>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393"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Item 16.</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18"/>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72"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7745" w:type="dxa"/>
            <w:tcBorders/>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18"/>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F-1</w:t>
            </w:r>
          </w:p>
        </w:tc>
        <w:tc>
          <w:tcPr>
            <w:tcW w:w="39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or Annual Report, contains forward-looking statements within the meaning of Section 27A of the Securities Act of 1933, as amended, and Section 21E of the Securities Exchange Act of 1934, as amended, that are subject to the safe harbor created by the Private Securities Litigation Reform Act of 1995, as amended. Forward-looking statements are all statements contained in this Annual Report that are not historical fact, and in some cases can be identified by terms such as: "aim", “anticipate,” “believe,” “estimate,” “expect,” “forecast,” “intend,” “may,” “plan,” “project,” “target,” "potential," “will” and other words and terms of similar meaning.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are subject to a number of risks, uncertainties and assumptions, many of which are beyond our control, and actual results may differ materially from those anticipated in such statements. Forward-looking statements in this Annual Report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raise substantial additional capital to continue as a going concern and fund our planned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successfully advance our preclinical Obesity and Metabolic Disorders Program, including ALN1003, through additional studies, formulation optimization, and manufacturing scale-up for progressing toward IND-enabling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into partnerships, collaborations or licensing arrangements to support development of our Obesity and Metabolic Disorders Program;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estimates regarding our expenses, use of cash, cash runway, timing of future cash needs and anticipated capital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license additional intellectual property to support our Obesity and Metabolic Disorders Program or out-license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legacy TCR-T assets and limited ongoing efforts to monetize remaining intellectual property and to comply with our existing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 of developments and projections relating to competition from other pharmaceutical and biotechnology companies or our industry;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plans relating to conducting future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testing, </w:t>
      </w:r>
      <w:r>
        <w:rPr>
          <w:rFonts w:ascii="Times New Roman" w:hAnsi="Times New Roman"/>
          <w:i/>
          <w:color w:val="000000"/>
          <w:sz w:val="20"/>
        </w:rPr>
        <w:t>in vivo</w:t>
      </w:r>
      <w:r>
        <w:rPr>
          <w:color w:val="000000"/>
        </w:rPr>
        <w:t xml:space="preserve"> </w:t>
      </w:r>
      <w:r>
        <w:rPr>
          <w:rFonts w:ascii="Times New Roman" w:hAnsi="Times New Roman"/>
          <w:color w:val="000000"/>
          <w:sz w:val="20"/>
        </w:rPr>
        <w:t>studies, and non-clinical and investigational new drug or IND-enabling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anticipated amount, timing and accounting of contract liabilities, milestones and other payments under licensing, collaboration or acquisition agreements, research and development costs and other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remain listed on the Nasdaq Capital Market, including compliance with the stockholders’ equity continued listing requirement (minimum $2.5 million), and the minimum bid price requirement ($1.00), and the potential consequences of any delisting;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 including the strength and enforceability of our intellectual property rights.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forward-looking statements in this Annual Report speak only as of the date of this Annual Report. We undertake no obligation to update or revise any forward-looking statement, whether as a result of new information, future events or otherwise, except as required by law. Any forward-looking statements in this Annual Report on Form 10-K reflect our current views with respect to future events or to our future financial performance and involve known and unknown risks, uncertainties and other factors that may cause our actual results, level of activity, performance or achievements to be materially different from any future results, level of activity, performance or achievements expressed or implied by these forward-looking statements. Factors that may cause actual results, levels of activity or performance of achievements to differ materially from current expectations include, among other things, those described under Part I, Item 1A, “Risk Factors” and elsewhere in this Annual Report on Form 10-K.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Unless the context requires otherwise, references in this Annual Report to “Alaunos,” the “Company,” “we,” “us” or “our” refer to Alaunos Therapeutics,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own or have rights to trademarks, service marks and trade names that we use in connection with the operation of our business, including our corporate name, logos and website names. We own the trademarks Alaunos Therapeutics®, hunTR®, and Ziopharm® as well as the related graphic trademarks found on our website. Other trademarks, service marks and trade names appearing in this Annual Report on Form 10-K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property of their respective owners. Solely for convenience, some of the trademarks, service marks and trade names referred to in this Annual Report on Form 10-K are listed without the ® and  symbols, but we will assert, to the fullest extent under applicable law, our rights to our trademarks, service marks and trade names.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SUMMARY OF SELECTED RISKS ASSOCIATED WITH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business faces significant risks and uncertainties. If any of the following risks are realized, our business, financial condition, results of operations, cash flows and prospects could be materially and adversely affected. You should carefully review and consider the full discussion of our risk factors in the section titled “Risk Factors” in Part I, Item 1A of this Annual Report, particularly the sections captioned “Risks Related to Our Strategic Reprioritization,” “Risks Related to Our Liquidity and Capital Resources,” and “Risks Related to Our Obesity and Metabolic Program.” Some of the more significant risks include the following: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require substantial additional financial resources to continue as a going concern and advance our Obesity and Metabolic Disorders Program; the failure to obtain it on acceptable terms would materially harm our business.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strategic reprioritization to progress our Obesity and Metabolic Disorders Program may not be successful, may not yield the desired results and we may be unsuccessful in identifying and implementing any alternate strategic transaction.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progress our Obesity and Metabolic Disorders Program, our Board of Directors may decide to pursue a dissolution and liquidation. In such an event, the amount of cash available for distribution to our stockholders will depend heavily on the timing of such liquidation as well as the amount of cash that will need to be reserved for commitments and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progress our Obesity and Metabolic Disorders Program depends on our ability to retain our current employees and consultants.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stock price has been, and may continue to be, volatile.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ability to remain listed on the Nasdaq Capital Market , including compliance with the stockholders’ equity continued listing requirement (minimum $2.5 million) and minimum bid price requirement ($1.00), and the potential consequences of any delisting.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a material weakness and failed to maintain an effective internal control environment, which may result in material misstatements of our financial statements or have a material adverse effect on our business or stock price.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small molecule Obesity and Metabolic Disorders Program is in an early preclinical stage and faces significant risks and requires substantial additional capital. We may never be able to commercialize any product candidate, generate significant revenues, or attain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small molecule product candidate faces intense competition which may in the future include from generics or biosimilars and/or new technologies and our pending patent applications may not be granted, further limiting our ability to compete.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involved in litigation, including securities class action litigation, that could divert management’s attention and harm our business, and insurance coverage may not be sufficient to cover all costs and damages.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to adequately protect or enforce our intellectual property rights or secure rights to patents of others, the value of our intellectual property rights would diminish and our ability to successfully commercialize our products may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Anti-takeover provisions in our charter documents and under Delaware law may make an acquisition of us, which may be beneficial to our stockholders, more difficult.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bookmarkStart w:id="3" w:name="item_1_business"/>
      <w:bookmarkEnd w:id="3"/>
      <w:r>
        <w:rPr>
          <w:rFonts w:ascii="Times New Roman" w:hAnsi="Times New Roman"/>
          <w:b/>
          <w:i/>
          <w:color w:val="000000"/>
          <w:sz w:val="20"/>
        </w:rPr>
        <w:t>Item 1. Business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preclinical-stage biopharmaceutical company focused on the development of novel, orally administered small-molecule therapeutics for obesity and related metabolic disorders, such as metabolic dysfunction-associated steatotic liver disease (MASLD, a type of fatty liver disease). The program aims to develop a differentiated, non-hormonal, non-incretin approach, unlike hormone-based treatments like GLP-1 drugs. On March 2, 2026, we announced positive preclinical proof-of-concept data for ALN1003 from two separate studies using a standard diet-induced obesity (DIO) mouse model in male C57BL/6 mice maintained on a high-fat diet (60% of calories from fat). Highlights from these studies include dose-dependent body weight loss with favorable body composition changes, reductions in liver weight, improvement in liver function biomarkers, and improvement in metabolic biomarkers. Collectively, these findings suggest encouraging metabolic effects of ALN1003 in the DIO model.</w:t>
      </w:r>
    </w:p>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were previously a clinical-stage oncology-focused cell therapy company developing adoptive TCR-T cell therapies.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generated any product revenue and have incurred significant net losses in each year since our inception. For the year ended December 31, 2025, we reported a net loss of $4.2 million and an accumulated deficit of $924.6 million as of that date. We expect to continue incurring substantial operating losses and will require significant additional capital to fund operations and advance our programs.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Small Molecule Oral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advancing our internally developed, preclinical small molecule program for the treatment of obesity and related metabolic disorders through a non-hormonal mechanism. This program focuses on discovering and developing novel, orally administered therapeutics with the potential for a differentiated and complementary profile compared to currently available therapies. While other pipeline therapies for obesity explore alternative hormonal pathways such as amylin or dual GIP/GLP-1 receptor agonism, our approach is focused on a non-hormonal mechanism of action.</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Key findings from two separate DIO studies (non-GLP) are summarized below (nominal reported p-values are unadjusted for multiple comparisons):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purpose of the first study was to evaluate the pharmacokinetics (PK) and tolerability of ALN1003 and to assess early proof-of-concept anti-obesity efficacy including changes in weight, metabolic biomarkers, and adipose remodeling. Mice received low, controlled oral doses of ALN1003, split into two doses each day. Measurements included daily body weight, food and water consumption at the cage level, and metabolic markers (blood collection after a 4-6 hour fast at end of study). All animals were observed prior to and after each dose administration. There were 12 mice in each group, with mice housed 3 per cage.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Relative to DIO controls, mean percent change in body weight for ALN1003-treated mice peaked at -12.9% (p&lt;0.0001) on Day 34 and was </w:t>
        <w:br/>
        <w:t>-10.3% (p&lt;0.0001) after 48 days of treatment. Peak reductions in absolute weight loss were observed by Day 13 and remained lower than DIO controls through Day 48 (p&lt;0.0001 at selected timepoints).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consumption versus DIO control (347.5 g/cage vs 425.0 g/cage; nominal p&lt;0.05). ALN1003 reduced water consumption (445.8 mL/cage vs 494.5 mL/cage; not statistically significant).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Liver and Fat Tissue:</w:t>
      </w:r>
      <w:r>
        <w:rPr>
          <w:rFonts w:ascii="Times New Roman" w:hAnsi="Times New Roman"/>
          <w:color w:val="000000"/>
          <w:sz w:val="20"/>
        </w:rPr>
        <w:t xml:space="preserve"> In this study, ALN1003 reduced liver weight compared to untreated mice by 43% (p&lt;0.0001) and by 39% when expressed as a percentage of body weight (p&lt;0.0001). Long-term administration of ALN1003 was associated with lower ALT (alanine aminotransferase; p&lt;0.0001), AST (aspartate aminotransferase; nominal p&lt;0.0001) and ALP (alkaline phosphatase; p&lt;0.0001), with a trend toward lower total bilirubin (nominal p=0.058) compared to untreated mice.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ALN1003 treatment group. Relative to DIO controls, ALN1003-treated animals exhibited smaller, deep reddish-brown livers; reduced epididymal white adipose tissue (eWAT) and inguinal white adipose tissue (iWAT) depots consistent with decreased adiposity; and darker interscapular BAT with appearance consistent with reduced “whitening” of BAT.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Tolerability:</w:t>
      </w:r>
      <w:r>
        <w:rPr>
          <w:rFonts w:ascii="Times New Roman" w:hAnsi="Times New Roman"/>
          <w:color w:val="000000"/>
          <w:sz w:val="20"/>
        </w:rPr>
        <w:t xml:space="preserve"> ALN1003 was generally well tolerated throughout the study. Mild, short-term, reversible hypolocomotion was observed after dosing in approximately one-half of dose administrations. There were no similar observations in DIO control animals.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second study conducted was a pilot study to evaluate palatability, tolerability, anti-obesity effects, body composition and PK of ALN1003 administered orally in drinking water at three dose levels in DIO mice. The study comprised a treatment period of 14 days and a PK period of 4 days. ALN1003 was administered at three dose levels: low, medium and high. The middle and highest planned doses were 3 and 9 times higher than the low dose, respectively. Measurements included daily body weight, food and water consumption at the cage level, and metabolic parameters (blood collection after a 4-6 hour fast at end of study). All animals were observed each day. There were 6 mice in each group (2 mice per cage).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intake in a dose-dependent manner over the 14-day treatment period. Cumulative food consumption in grams per cage was 84.5g, 80.8g, 76.7g and 56.7g (nominal p&lt;0.05) for the DIO control, low, medium and high doses, respectively. Cumulative food consumption when normalized to body weight per cage was 87.9g, 85.6g, 86.7g and 73.6g for the DIO control, low, medium and high doses, respectively. ALN1003 reduced water intake significantly over the 14-day treatment period. Cumulative water consumption in milliliters per cage was 112.8 mL, 80.1 mL (nominal p&lt;0.05), 71.1 mL (p&lt;0.0001) and 63.5 mL (p&lt;0.0001) for the DIO control, low, medium and high doses, respectively. Cumulative water consumption when normalized to body weight per cage was 116.9 mL, 84.9 mL, 80.5 mL and 80.3 mL for the DIO control, low, medium and high doses, respectively. Actual dose consumed is dependent on how much water mice drink. Actual doses consumed during the 14-day treatment period were consistent with planned doses, with variances to planned doses of +7.3%, -0.3% and -6.9% in the low, medium and high dose groups,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Body composition</w:t>
      </w:r>
      <w:r>
        <w:rPr>
          <w:rFonts w:ascii="Times New Roman" w:hAnsi="Times New Roman"/>
          <w:color w:val="000000"/>
          <w:sz w:val="20"/>
        </w:rPr>
        <w:t xml:space="preserve"> was assessed using a Bruker Minispec</w:t>
      </w:r>
      <w:r>
        <w:rPr>
          <w:rFonts w:ascii="Times New Roman" w:hAnsi="Times New Roman"/>
          <w:color w:val="000000"/>
          <w:sz w:val="13"/>
        </w:rPr>
        <w:t>TM</w:t>
      </w:r>
      <w:r>
        <w:rPr>
          <w:rFonts w:ascii="Times New Roman" w:hAnsi="Times New Roman"/>
          <w:color w:val="000000"/>
          <w:sz w:val="20"/>
        </w:rPr>
        <w:t>LF90II Body Composition Analyzer (Bruker BioSpin, Billerica, MA, USA) and demonstrated dose-related changes that were driven primarily by fat loss but also included the loss of lean and fluid mass. The table below summarizes the mean percentage change from baseline through Day 17 in fat, lean and fluid as a % of body weight (BW) and mass in grams:</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1681"/>
        <w:gridCol w:w="1261"/>
        <w:gridCol w:w="1261"/>
        <w:gridCol w:w="1351"/>
        <w:gridCol w:w="1381"/>
      </w:tblGrid>
      <w:tr>
        <w:trPr/>
        <w:tc>
          <w:tcPr>
            <w:tcW w:w="16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Mean % Change:</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Control</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Low</w:t>
            </w:r>
          </w:p>
        </w:tc>
        <w:tc>
          <w:tcPr>
            <w:tcW w:w="13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Medium</w:t>
            </w:r>
          </w:p>
        </w:tc>
        <w:tc>
          <w:tcPr>
            <w:tcW w:w="13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High</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D17 Fat%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-21.9%</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D17 Lean%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+17.2%</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D17 Fluid%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-25.7%</w:t>
            </w:r>
            <w:r>
              <w:rPr>
                <w:rFonts w:ascii="Times New Roman" w:hAnsi="Times New Roman"/>
                <w:color w:val="000000"/>
                <w:sz w:val="13"/>
              </w:rPr>
              <w:t>b</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D17 Fat in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 (+0.9g)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-12.3% (-2.5g)</w:t>
            </w:r>
            <w:r>
              <w:rPr>
                <w:rFonts w:ascii="Times New Roman" w:hAnsi="Times New Roman"/>
                <w:color w:val="000000"/>
                <w:sz w:val="13"/>
              </w:rPr>
              <w:t>b</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-44.6% (-8.9g)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D17 Lean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 (+0.5g)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 (+0.6g)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-4.1% (-1.1g)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-18.8% (-5.0g)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D17 Fluid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 (+0.1g)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-18.8% (-0.7g)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20"/>
              </w:rPr>
              <w:t>-47.3% (-1.8g)</w:t>
            </w:r>
            <w:r>
              <w:rPr>
                <w:rFonts w:ascii="Times New Roman" w:hAnsi="Times New Roman"/>
                <w:color w:val="000000"/>
                <w:sz w:val="13"/>
              </w:rPr>
              <w:t>c</w:t>
            </w:r>
          </w:p>
        </w:tc>
      </w:tr>
    </w:tbl>
    <w:p>
      <w:pPr>
        <w:pStyle w:val="TextBody"/>
        <w:bidi w:val="0"/>
        <w:jc w:val="left"/>
        <w:rPr>
          <w:rFonts w:ascii="Times New Roman" w:hAnsi="Times New Roman"/>
          <w:color w:val="000000"/>
          <w:sz w:val="20"/>
        </w:rPr>
      </w:pPr>
      <w:r>
        <w:rPr>
          <w:rFonts w:ascii="Times New Roman" w:hAnsi="Times New Roman"/>
          <w:color w:val="000000"/>
          <w:sz w:val="20"/>
        </w:rPr>
        <w:t>Significance of comparison to Control group: a: nominal p&lt;0.05; b: nominal p&lt;0.001; c: p&lt;0.0001</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Liver and Fat Tissue:</w:t>
      </w:r>
      <w:r>
        <w:rPr>
          <w:rFonts w:ascii="Times New Roman" w:hAnsi="Times New Roman"/>
          <w:color w:val="000000"/>
          <w:sz w:val="20"/>
        </w:rPr>
        <w:t xml:space="preserve"> At end of study Day 18, including the 14-day treatment period plus the PK period, dose-related reductions in liver weights compared to DIO control were -6.8%, -20.5% and -55.0% (nominal p&lt;0.01) in the low, medium and high dose groups, respectively. Reductions in liver weights expressed as a percentage of body weight relative to DIO control were -2.6%, -12.0% and -32.6% (nominal p&lt;0.05). Liver enzymes showed no statistically significant change after 18 days; gross liver appearance suggested reduced fat accumulation. Histological analyses of liver and adipose tissues are planned.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high dose group. This analysis showed reductions in white fat depots (such as epididymal white adipose tissue, or eWAT, and inguinal white adipose tissue, or iWAT) and an interscapular BAT appearance consistent with reduced “whitening” in the ALN1003 tissues vs DIO control. Review of liver images suggested less visible fat accumulation and smaller, deep red-brown livers compared to DIO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Metabolic parameters:</w:t>
      </w:r>
      <w:r>
        <w:rPr>
          <w:rFonts w:ascii="Times New Roman" w:hAnsi="Times New Roman"/>
          <w:color w:val="000000"/>
          <w:sz w:val="20"/>
        </w:rPr>
        <w:t xml:space="preserve"> In this study, the highest-dose group showed lower blood sugar (glucose; 197 mg/dL in high dose vs 320 mg/dL in DIO control; p&lt;0.0001) and lower total cholesterol (162 mg/dL in high dose vs 209 mg/dL in DIO control; nominal p&lt;0.05). HDL-C (high-density lipoprotein cholesterol), the dominant lipoprotein in DIO mice, also decreased to 130 mg/dL in high dose vs 165 mg/dL in DIO control; nominal p&lt;0.05.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Tolerability:</w:t>
      </w:r>
      <w:r>
        <w:rPr>
          <w:rFonts w:ascii="Times New Roman" w:hAnsi="Times New Roman"/>
          <w:color w:val="000000"/>
          <w:sz w:val="20"/>
        </w:rPr>
        <w:t xml:space="preserve"> ALN1003 was generally well tolerated throughout the study; however, on Day 16 (during the PK portion of the study), two mice in the high-dose group were noted to be slightly dehydrated for the remainder of the study, although they otherwise appeared normal.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Important Context and Model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Behavior-coupled dosing in unrestricted (ad libitum) drinking-water studies: In this paradigm, ALN1003 caused dose-related loss of appetite and thirst (anorexia/hypodipsia), leading to avoidance of medicated water. Despite actual doses consumed approximating planned doses in this study, reductions in drinking may confound attribution of weight loss solely to drug exposure in this model.</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Development Roadmap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findings from these two studies support the Company’s strategy to focus on additional preclinical studies and CMC activities to optimize formulations while maintaining effective overall drug levels. We are also planning to conduct studies to better understand mechanisms of ALN1003, including measuring liver fat levels and scoring MASLD severity of the liver in a blinded manner. We are planning to further refine manufacturing processes and to run a small-scale production run based on these improvements. Thereafter, a larger scale production run is planned. In parallel, the Company has initiated a computational chemistry program to design, make, and test ALN1003 variations to strengthen the Company’s intellectual property and assess next-generation compounds. These initiatives, including large animal pharmacokinetic studies, will inform plans to conduct IND enabling studies.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advancement of this program is subject to numerous risks and uncertainties inherent in early-stage drug development. Subject to favorable data from these preclinical studies and our ability to secure additional capital, we plan to advance a selected development candidate into formal investigational new drug (IND)-enabling studies. We intend to actively explore strategic financing and collaboration opportunities to fund the continued development of this program.</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Obesity Market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Obesity remains one of the most critical and rapidly escalating global health challenges. Prevalence continues to rise across nearly all regions, with particularly high and still increasing rates in the United States, Europe, the Middle East, and parts of Asia. Importantly, obesity is no longer viewed solely as a lifestyle issue but as a chronic, relapsing, multisystem disease that drives long</w:t>
        <w:noBreakHyphen/>
        <w:t>term morbidity, mortality, and healthcare costs.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burden of obesity is amplified by its strong causal links to a wide spectrum of comorbidities, including type 2 diabetes, cardiovascular disease, chronic kidney disease, and liver disorders—most notably Metabolic Dysfunction–Associated Steatotic Liver Disease (MASLD)—as well as several cancers. Increasing evidence also links obesity to neurological and neurodegenerative conditions, including vascular dementia and Alzheimer’s disease, further expanding its societal and economic impact. As a result, obesity sits at the center of converging metabolic, inflammatory, cardiovascular, and oncologic disease pathways, making it a major focus for health systems and biopharma innovation.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global obesity therapeutics market is undergoing unprecedented expansion. In 2026, analyst revisions now project the market reaching $150 billion by 2030, reflecting one of the fastest growth trajectories in pharmaceutical history. This acceleration is driven by rising prevalence across all age groups, earlier diagnosis, increased recognition of obesity as a treatable disease, and a historic shift in reimbursement policies, including expanded coverage under Medicare for patients with established cardiovascular risk.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Key additional growth drivers include the expansion of obesity treatment beyond simple weight loss into the prevention of downstream cardiometabolic and liver disease. There is also a notable shift toward long</w:t>
        <w:noBreakHyphen/>
        <w:t>term, chronic management paradigms and the emergence of "oral revolutions," where highly effective pill-based formulations are broadening adoption among younger and needle-hesitant populations.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market has been fundamentally reshaped by the rapid adoption of incretin</w:t>
        <w:noBreakHyphen/>
        <w:t>based therapies, particularly GLP</w:t>
        <w:noBreakHyphen/>
        <w:t>1 receptor agonists and multi-receptor agonists (e.g., Ozempic, Wegovy, Zepbound). These agents have demonstrated unprecedented weight</w:t>
        <w:noBreakHyphen/>
        <w:t xml:space="preserve">loss efficacy and emerging benefits across cardiovascular and renal outcomes.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Despite transforming obesity care, hormone</w:t>
        <w:noBreakHyphen/>
        <w:t>based therapies have important limitations, including high cost, gastrointestinal tolerability issues, and uncertainty around lifelong use. Critically, data reveals a clinically meaningful rate of non</w:t>
        <w:noBreakHyphen/>
        <w:t>response, affecting approximately 10–30% of patients who fail to achieve ≥5% weight loss despite adequate dosing. This highlights the biological heterogeneity of obesity and underscores the urgent need for complementary or non</w:t>
        <w:noBreakHyphen/>
        <w:t>hormonal approaches, particularly for patients who hit metabolic plateaus or cannot tolerate hormonal side effects.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obesity increasingly affects younger populations and becomes a true lifelong condition, there is growing recognition that additional therapeutic modalities will be required to complement or substitute hormone</w:t>
        <w:noBreakHyphen/>
        <w:t>based approaches. Within this evolving landscape, there is strong interest in non</w:t>
        <w:noBreakHyphen/>
        <w:t>hormonal alternatives that offer differentiated safety profiles and easier chronic use. Programs positioned in this space are essential for expanding the treatable population and supporting the next phase of sustainable, long-term disease management.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Legacy Cell Therapy Programs</w:t>
      </w:r>
    </w:p>
    <w:p>
      <w:pPr>
        <w:pStyle w:val="TextBody"/>
        <w:bidi w:val="0"/>
        <w:spacing w:before="24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were historically involved in developing adoptive T-cell receptor (TCR) engineered T-cell therapies (TCR-T) targeting solid tumors using our proprietary non-viral Sleeping Beauty gene transfer platform and hunTR TCR discovery engine. These programs were being developed in collaboration with The University of Texas MD Anderson Cancer Center in a Phase 1/2 TCR-T Library Trial. In August 2023, due to substantial development costs and the challenging financing environment, we announced a strategic reprioritization and discontinued further clinical development of our TCR-T programs. Efforts to consummate a sale or out-license transaction of this intellectual property portfolio have been unsuccessful to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Preclinical and Clinical Development</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Manufacturing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no internal manufacturing capability and outsource the production of active pharmaceutical ingredient (API) and drug product for our preclinical small-molecule obesity program to third-party contract development and manufacturing organizations (CDMOs) with experience in small-molecule synthesis and production. We currently rely on a limited number of CDMOs for API supply, and we may depend on single or limited sources for certain raw materials or specialized services. We are engaged in chemistry, manufacturing, and controls (CMC) activities to support formulation optimization, small-scale production, and future IND-enabling studies. Reliance on third-party manufacturers involves risks, including potential delays in supply, quality or purity issues, regulatory compliance challenges, and increased costs. </w:t>
      </w:r>
    </w:p>
    <w:p>
      <w:pPr>
        <w:pStyle w:val="TextBody"/>
        <w:bidi w:val="0"/>
        <w:spacing w:before="240" w:after="283"/>
        <w:jc w:val="both"/>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goal is to obtain, maintain and enforce patent and trade secret protection for our product candidates, formulations, processes, methods and other proprietary technologies. We strive to preserve our trade secrets and other confidential information and to operate without infringing the proprietary rights of other parties. Our policy is to actively seek the strongest possible intellectual property protection for our technology and product candidates through a combination of license agreements and owned patents, both in the United States and abroad.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our small-molecule obesity program (including lead candidate ALN1003), we are pursuing intellectual property protection through pending and planned patent applications directed to compositions of matter, methods of use, formulations, and related technologies. We have initiated a computational chemistry effort to conceive, manufacture and evaluate analogs of our product candidates to expand and strengthen our patent portfolio. As with our legacy assets, we currently have no issued patents protecting the obesity and metabolic disorders program, and protection is limited to pending applications and trade secret safeguards.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Legacy TCR-T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have six families of pending patent applications covering aspects of our historical TCR-T library, products, and processes (including Sleeping Beauty gene transfer and hunTR TCR discovery technologies). We currently hold no issued patents in this area.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General IP Strategy &amp;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terms vary by jurisdiction and depend on filing or grant dates, claim scope, and legal remedies available. Under the Hatch-Waxman Act, certain patents may qualify for up to five years of term extension (not exceeding 14 years from approval) to offset development and regulatory delays, subject to USPTO/FDA review. We intend to pursue such extensions where applicable, but there is no assurance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rely on trade secrets and confidentiality agreements to protect unpatentable know-how, proprietary methods, and other confidential information. Employees, consultants, and contractors are generally required to assign inventions to us and enter into confidentiality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IP position is subject to significant risks, including challenges to patentability, enforceability, or validity; third-party infringement claims; and dependence on licensed rights (see License Agreements below). Please refer to Item 1A, “Risk Factors — Risks Related to Our Intellectual Property” for a detailed discussion of these and other risks that could materially impair our ability to protect or commercialize our technologies and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License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have historically relied on license and research agreements to access key technologies for our former TCR-T cell therapy programs. The most material of these agreements are summarized below. We no longer have active clinical development under these arrangements following our August 2023 strategic reprioritization and wind-down of the TCR-T Library Phase 1/2 Trial.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MD Anderson License and Research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January 2015, we entered into an exclusive worldwide license agreement (the “MD Anderson License”) with The University of Texas MD Anderson Cancer Center (“MD Anderson”) for certain technologies related to non-viral gene transfer, genetic modification of immune cells, TCRs, and other cellular therapy approaches. In August 2015, we, together with Precigen (formerly Intrexon), entered into a research and development agreement (the “2015 R&amp;D Agreement”) to facilitate the transfer and development of these technologies. Precigen’s rights were later assigned to 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MD Anderson License and related agreements were amended several times to extend terms and adjust funding obligations. In October 2019, we entered into a separate 2019 R&amp;D Agreement focused on TCR library expansion and clinical development. Under these arrangements, we funded specified research and development activities and agreed to pay royalties on net sales of resulting TCR products (if any), as well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potential milestone payments tied to clinical and regulatory progress (aggregate potential milestones up to $36.5 million, with only $3.0 million due prior to first marketing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MD Anderson License term continues until the later of the expiration of all licensed patents or 20 years from the agreement date, after which we retain a perpetual, royalty-free license. MD Anderson retains certain rights to terminate or convert licenses to non-exclusive under specified conditions (e.g., failure to meet diligence requirements or commercial efforts). Either party may terminate for uncured material breach or certain insolvency events.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Current Status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Following our August 2023 strategic reprioritization and wind-down of the TCR-T Library Phase 1/2 Trial, we are no longer conducting clinical development under these agreements. Efforts to consummate a sale or out-license transaction of this intellectual property portfolio have been unsuccessful to date.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December 2025, we entered into a Settlement and Release Agreement with MD Anderson to fully resolve outstanding invoices and payment disputes arising from historical activities under the 2015 and 2019 R&amp;D Agreements. Under the terms of the settlement, we agreed to make payments totaling $285,000 in six installments through May 30, 2026, in full satisfaction of all amounts due. The agreement includes mutual general releases (subject to customary exceptions) and does not affect our retained intellectual property rights under the MD Anderson License.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Risks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realize value from these legacy agreements and related IP is subject to significant risks, including termination rights, diligence requirements, and third-party claims. For a full discussion, see Item 1A, “Risk Factors — Risks Related to Our Intellectual Property” and “Risks Related to Our Strategic Reprioritization.”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Governmental Regulation and Product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and jurisdictions extensively regulate, among other things, the research, development, preclinical and clinical testing, manufacturing, quality control, labeling, packaging, storage, record-keeping, promotion, advertising, sale, distribution, post-approval monitoring and reporting, marketing and export and import of pharmaceutical products such as those we are developing. Our product candidates must be approved by the FDA before they may be legally marketed in the United States and by the appropriate foreign regulatory agency before they may be legally marketed in foreign countries. Generally, our activities in other countries will be subject to regulation that is similar in nature and scope as that imposed in the United States, although there can be important differences. The process for obtaining regulatory marketing approvals and the subsequent compliance with applicable federal, state, local and foreign statutes and regulations require the expenditure of substantial time and financial resources. </w:t>
      </w:r>
    </w:p>
    <w:p>
      <w:pPr>
        <w:pStyle w:val="TextBody"/>
        <w:bidi w:val="0"/>
        <w:spacing w:before="240" w:after="283"/>
        <w:jc w:val="both"/>
        <w:rPr>
          <w:rFonts w:ascii="Times New Roman" w:hAnsi="Times New Roman"/>
          <w:sz w:val="20"/>
        </w:rPr>
      </w:pPr>
      <w:r>
        <w:rPr>
          <w:rFonts w:ascii="Times New Roman" w:hAnsi="Times New Roman"/>
          <w:b/>
          <w:i/>
          <w:color w:val="000000"/>
          <w:sz w:val="20"/>
        </w:rPr>
        <w:t>U.S. Regulatory Process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the FDA regulates small-molecule drugs under the Federal Food, Drug, and Cosmetic Act and implementing regulations. Before human testing can begin, we must submit an Investigational New Drug application (IND) to the FDA containing preclinical data, manufacturing information, and a proposed clinical protocol. The IND becomes effective 30 days after submission unless the FDA places a clinical hold. We have not yet filed an IND for any product candidate and are currently in the preclinical stage.</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Clinical development typically occurs in three phases: Phase 1 (safety in healthy volunteers or patients), Phase 2 (preliminary efficacy and dosing), and Phase 3 (confirmatory efficacy and safety in larger populations). Clinical trials must comply with Good Clinical Practices (GCP) and be overseen by institutional review boards (IRBs). Before marketing approval, we would submit a New Drug Application (NDA) demonstrating safety and efficacy, followed by FDA review, potential advisory committee input, and facility inspections for compliance with current Good Manufacturing Practices (cGMP). Approval may be subject to restrictions, post-marketing studies (Phase 4), or Risk Evaluation and Mitigation Strategies (REMS).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Even if approved, marketed products remain subject to ongoing FDA regulation, including adverse event reporting, labeling changes, and manufacturing inspections. Failure to comply with regulatory requirements can result in warning letters, product recalls, clinical holds, approval withdrawal, or civil/criminal penalties.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jc w:val="both"/>
        <w:rPr>
          <w:rFonts w:ascii="Times New Roman" w:hAnsi="Times New Roman"/>
          <w:color w:val="000000"/>
          <w:sz w:val="20"/>
        </w:rPr>
      </w:pPr>
      <w:r>
        <w:rPr>
          <w:rFonts w:ascii="Times New Roman" w:hAnsi="Times New Roman"/>
          <w:color w:val="000000"/>
          <w:sz w:val="20"/>
        </w:rPr>
        <w:br/>
        <w:t>Significant uncertainty exists regarding third-party payor coverage and reimbursement for any product candidates that may receive marketing approval. In the United States, third-party payors (government programs, private insurers) increasingly challenge pricing, medical necessity, and cost-effectiveness. Inadequate reimbursement could limit market acceptance and our ability to generate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Other Laws</w:t>
      </w:r>
    </w:p>
    <w:p>
      <w:pPr>
        <w:pStyle w:val="TextBody"/>
        <w:bidi w:val="0"/>
        <w:jc w:val="both"/>
        <w:rPr>
          <w:rFonts w:ascii="Times New Roman" w:hAnsi="Times New Roman"/>
          <w:color w:val="000000"/>
          <w:sz w:val="20"/>
        </w:rPr>
      </w:pPr>
      <w:r>
        <w:rPr>
          <w:rFonts w:ascii="Times New Roman" w:hAnsi="Times New Roman"/>
          <w:color w:val="000000"/>
          <w:sz w:val="20"/>
        </w:rPr>
        <w:br/>
        <w:t>We are subject to federal and state healthcare fraud and abuse laws (e.g., Anti-Kickback Statute, False Claims Act), as well as foreign equivalents, which restrict certain business practices and relationships with healthcare providers and payors. Compliance with these laws involves significant costs and risks.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regulatory process is subject to change, including through new legislation or FDA policies, which could delay or prevent approval of our product candidates. For a more detailed discussion of these and other regulatory risks, see Item 1A, “Risk Factors — Risks Related to Our Ability to Commercialize Our Product Candidates.”</w:t>
      </w:r>
    </w:p>
    <w:p>
      <w:pPr>
        <w:pStyle w:val="TextBody"/>
        <w:bidi w:val="0"/>
        <w:spacing w:before="240" w:after="283"/>
        <w:jc w:val="both"/>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obesity treatment market is highly competitive and rapidly evolving. We are developing an oral, small-molecule candidate (ALN1003) with a differentiated, non-hormonal, non-incretin approach. However, numerous pharmaceutical and biotechnology companies are actively developing or marketing competing obesity treatments, including GLP-1 receptor agonists, dual/triple agonists, and other mechanisms. Many of these competitors have significantly greater financial resources, clinical development experience, manufacturing capabilities, regulatory expertise, and commercial infrastructure than we do. Key competitors in the obesity space include (but are not limited to) companies such as Novo Nordisk, Eli Lilly, Amgen, Pfizer, Viking Therapeutics, Structure Therapeutics, and others.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competitors develop and commercialize products that are more effective, safer, better tolerated, easier to administer, or less expensive than our candidates, or if they obtain regulatory approval more quickly, our potential market opportunity could be significantly reduced. Competitive factors that may affect any future product include efficacy, safety, tolerability, ease of administration, price, reimbursement, and market access.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we had one full-time employee and no part-time employees. Our employee is not subject to a collective bargaining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Given our current size and strategic focus, we rely heavily on consultants and external advisors to perform key functions, including finance, legal, regulatory, and preclinical development activities. Several material consulting agreements remain in place to support business continuity and execution of our obesity program and strategic alternatives review.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human capital strategy emphasizes retaining and incentivizing our limited internal team while effectively managing consultant relationships to advance our objectives with constrained resources. We maintain equity incentive plans (including the 2020 Equity Incentive Plan) to attract, retain, and motivate employees, consultants, and directors through stock-based compensation awards and, where applicable, cash-based performance bonuses.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small size of our workforce and dependence on consultants increase execution risk for our remaining programs and strategic initiatives. </w:t>
      </w:r>
    </w:p>
    <w:p>
      <w:pPr>
        <w:pStyle w:val="TextBody"/>
        <w:bidi w:val="0"/>
        <w:spacing w:before="120" w:after="283"/>
        <w:jc w:val="both"/>
        <w:rPr>
          <w:rFonts w:ascii="Times New Roman" w:hAnsi="Times New Roman"/>
          <w:sz w:val="20"/>
        </w:rPr>
      </w:pPr>
      <w:r>
        <w:rPr>
          <w:rFonts w:ascii="Times New Roman" w:hAnsi="Times New Roman"/>
          <w:b/>
          <w:i/>
          <w:color w:val="000000"/>
          <w:sz w:val="20"/>
        </w:rPr>
        <w:t>Departure of Dale Curtis Hogue, Jr. as Chief Executive Officer and Director</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 2025, Dale Curtis Hogue, Jr. notified the Company of his resignation from the board of directors (the “Board”) of Alaunos Company and his position as Chief Executive Officer, effective immediately. His departure was not due to any disagreement with the Company. </w:t>
      </w:r>
    </w:p>
    <w:p>
      <w:pPr>
        <w:pStyle w:val="TextBody"/>
        <w:bidi w:val="0"/>
        <w:jc w:val="both"/>
        <w:rPr>
          <w:rFonts w:ascii="Times New Roman" w:hAnsi="Times New Roman"/>
          <w:color w:val="000000"/>
          <w:sz w:val="20"/>
        </w:rPr>
      </w:pPr>
      <w:r>
        <w:rPr>
          <w:rFonts w:ascii="Times New Roman" w:hAnsi="Times New Roman"/>
          <w:color w:val="000000"/>
          <w:sz w:val="20"/>
        </w:rPr>
        <w:t>On the same day, Mr. Hogue entered into a Consulting Agreement with the Company, effective July 1, 2025 (the “Consulting Agreement”), pursuant to which Mr. Hogue will continue providing strategic and advisory services to the Company. The Consulting Agreement will continue until terminated by either party. The Consulting Agreement provides for compensation at a fixed rate of $250 per hour and reimbursement by the Company for any usual and customary expenses incurred by Mr. Hogue in connection with performing services pursuant to the Consulting Agreement.</w:t>
      </w:r>
    </w:p>
    <w:p>
      <w:pPr>
        <w:pStyle w:val="TextBody"/>
        <w:bidi w:val="0"/>
        <w:jc w:val="both"/>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Mr. Weis Engagement</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Effective July 2, 2025, the Company entered into an employment agreement with Mr. Weis in connection with his appointment as Chief Executive Officer.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employment agreement, Mr. Weis is entitled to an annual base salary of $275,000. In addition, Mr. Weis was granted an option to purchase 130,000 shares of the Company’s common stock at an exercise price of $5.06 per share. One-fourth of the option vested and became exercisable on the grant date, and the remaining three-fourths vest in equal installments over three years on each quarterly anniversary of the grant date, beginning October 2, 2025, subject to Mr. Weis’s continued employment with the Company through each applicable vesting date. Any unvested portion of the option will be forfeited upon the termination of Mr. Weis’s employment with the Company. The option grant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governed by the Company’s 2020 Equity Incentive Plan and the applicable stock option agreement thereunder.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Appointment of Michael A. Jerman</w:t>
      </w:r>
    </w:p>
    <w:p>
      <w:pPr>
        <w:pStyle w:val="TextBody"/>
        <w:bidi w:val="0"/>
        <w:jc w:val="both"/>
        <w:rPr>
          <w:rFonts w:ascii="Times New Roman" w:hAnsi="Times New Roman"/>
          <w:color w:val="000000"/>
          <w:sz w:val="20"/>
        </w:rPr>
      </w:pPr>
      <w:r>
        <w:rPr>
          <w:rFonts w:ascii="Times New Roman" w:hAnsi="Times New Roman"/>
          <w:color w:val="000000"/>
          <w:sz w:val="20"/>
        </w:rPr>
        <w:t>On July 15, 2025, the board of directors of the Company appointed Mr. Michael A. Jerman, as a director of the Company. Mr. Jerman filled the vacancy created by Mr. Dale Curtis Hogue’s resignation. Mr. Jerman was also appointed to the Audit Committee and the Compensation Committee of the Board, replacing Mr. Holger Weis, who was appointed Chief Executive Officer of the Company. Mr. Jerman serves as the chair of the Audit Committee. The Board has determined that Mr. Jerman meets the requirements for independence under the applicable listing standards of the Nasdaq Stock Market LLC and the Securities and Exchange Act of 1934, as amended.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Departure of Melinda Lackey as Legal &amp; Administration, Corporate Secretary</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16, 2025, Melinda Lackey notified the Company that, pursuant to Section 1 of the November 11, 2023 Consulting Agreement (the “Agreement”) between the parties, she was terminating the agreement, effective 30 days from the date of the notice, or August 15, 2025 (the “Effective Date”). Concurrent with this notice, Ms. Lackey resigned as Legal and Administrative Officer and as the Company’s corporate secretary as of the Effective Date. Ms. Lackey's departure is not the result of any disagreement with the Company on any matter related to the Company's operations, policies or procedures. </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Appointment of Ferdinand Groenewald as Corporate Secretary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August 14, 2025, the Board of Directors of the Company appointed Mr. Ferdinand Groenewald as Corporate Secretary effective upon the resignation of Ms. Lackey. </w:t>
      </w:r>
    </w:p>
    <w:p>
      <w:pPr>
        <w:pStyle w:val="TextBody"/>
        <w:bidi w:val="0"/>
        <w:spacing w:before="240" w:after="283"/>
        <w:jc w:val="both"/>
        <w:rPr>
          <w:rFonts w:ascii="Times New Roman" w:hAnsi="Times New Roman"/>
          <w:sz w:val="20"/>
        </w:rPr>
      </w:pPr>
      <w:r>
        <w:rPr>
          <w:rFonts w:ascii="Times New Roman" w:hAnsi="Times New Roman"/>
          <w:b/>
          <w:color w:val="000000"/>
          <w:sz w:val="20"/>
        </w:rPr>
        <w:t>Corporate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originally incorporated in Colorado in September 1998 (under the name Net Escapes, Inc.) and later changed our name to “EasyWeb, Inc.” in February 1999. We re-incorporated in Delaware on May 16, 2005 under the same name. On September 13, 2005, we completed a “reverse” acquisition of privately held Ziopharm, Inc., a Delaware corporation. To effect this transaction, we caused ZIO Acquisition Corp., our wholly-owned subsidiary, to merge with and into Ziopharm, Inc., with Ziopharm, Inc. surviving as our wholly owned subsidiary. Following the merger, we caused Ziopharm, Inc. to merge with and into us and we changed our name to “Ziopharm Oncology, Inc.” As a result, Ziopharm, Inc. became the registrant with the Securities and Exchange Commission, or the SEC, and the historical financial statements of Ziopharm, Inc. became our historical financial statements. On January 25, 2022, we filed a Certificate of Amendment to our Amended and Restated Certificate of Incorporation with the Delaware Secretary of State to change our name to Alaunos Therapeutics, Inc.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executive offices are located at 501 E. Las Olas Blvd., Suite 300, Fort Lauderdale, Florida 33301, and our telephone number is (346) 355-4099.</w:t>
      </w:r>
    </w:p>
    <w:p>
      <w:pPr>
        <w:pStyle w:val="TextBody"/>
        <w:bidi w:val="0"/>
        <w:spacing w:before="240" w:after="283"/>
        <w:jc w:val="both"/>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website address is www.alaunos.com. Our website and information included in or linked to our website are not part of this Annual Report on Form 10-K. We file reports with the SEC, which we make available on our website free of charge. These reports include annual reports on Form 10-K, quarterly reports on Form 10-Q, current reports on Form 8-K and amendments to such reports, each of which is provided on our website as soon as reasonably practicable after we electronically file such materials with or furnish them to the SEC. In addition, the SEC maintains a website (www.sec.gov) that contains reports, proxy and information statements and other information regarding issuers, like us, that file electronically with the SEC.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4" w:name="item_1a_risk_factors_"/>
      <w:bookmarkEnd w:id="4"/>
      <w:r>
        <w:rPr>
          <w:rFonts w:ascii="Times New Roman" w:hAnsi="Times New Roman"/>
          <w:b/>
          <w:i/>
          <w:color w:val="000000"/>
          <w:sz w:val="20"/>
        </w:rPr>
        <w:t>Item 1A. Risk Factors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An investment in our common stock is risky. In addition to the other information in this Annual Report on Form 10-K, you should carefully consider the following risk factors in evaluating us and our business. If any of the events described in the following risk factors were to occur, our business, financial condition, results of operations, cash flows and prospects would likely be materially and adversely affected. In that event, the trading price of our common stock could decline, and you could lose all or a part of your investment in our common stock. Therefore, we urge you to carefully review this entire Annual Report on Form 10-K and consider the risk factors discussed below. Moreover, the risks described below are not the only ones that we face. Additional risks not presently known to us or that we currently deem immaterial may also affect our business, financial condition, results of operations, cash flows and prospects. Additional risks that we currently do not know about, or that we currently believe to be immaterial, may also impair our business, financial condition, results of operations, cash flows and prospects. Certain statements below are forward-looking statements. See “Special Note Regarding Forward-Looking Statements” in this Annual Report.</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REPRIORITIZATION, FINANCIAL POSITION AND CAPITAL REQUIREMENTS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strategic reprioritization to progress our Obesity and Metabolic Program may not be successful, may not yield the desired results and we may be unsuccessful in identifying and implementing any alternate strategic transaction.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14, 2023, we announced a strategic reprioritization of our business and wind-down of our TCR-T Library Phase 1/2 Trial. In connection with the reprioritization, we reduced our workforce by approximately 95% and continue to reduce costs to extend our cash runway. We had previously engaged Cantor Fitzgerald &amp; Co. to act as strategic advisor for this process; the engagement was terminated effective January 8, 2026. Efforts to consummate a sale or out-license transaction of this legacy intellectual property portfolio have been unsuccessful to date.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not actively pursuing broad strategic alternatives such as acquisitions, mergers, or sales of the Company. Our primary focus is advancing our internally developed small-molecule Obesity and Metabolic Disorders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devote substantial time and resources to the advancement of our Obesity and Metabolic Disorders Program. There can be no assurance that this program will succeed, that we will be able to advance it through IND-enabling studies, or that we will secure the additional capital required to do so.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process of advancing our Obesity and Metabolic Disorders Program is costly and resource-intensive. We have incurred, and will continue to incur, significant costs related to preclinical studies, formulation development, manufacturing, and regulatory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strategic transaction or financing would likely depend primarily on the perceived value and progress of our Obesity and Metabolic Disorders Program. In addition, any strategic business combination or other transactions that we may consummate in the future could have a variety of negative consequences and we may implement a course of action or consummate a transaction that yields unexpected results that adversely affect our business and decreases the remaining cash available for use in our business or the execution of our strategic plan. Any potential transaction would be dependent on a number of factors that may be beyond our control, including, among other things, market conditions, industry trends, the interest of third parties in a potential transaction with us, obtaining stockholder approval and the availability of financing to third parties in a potential transaction with us on reasonable terms. Any failure of such potential transaction to achieve the anticipated results could significantly impair our ability to enter into any future strategic transactions and may significantly diminish or delay any future distributions to our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the potential value of our Obesity and Metabolic Disorders Program for patients and our stockholders is high, but that expectation may not be recognized by potential partners, investors, or the market. We may be forced to accept terms in any future financing or transaction that undervalue or limit the Obesity and Metabolic Disorders Program if such transaction is determined to be in the best interest of the stockholders.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not successful in advancing our Obesity and Metabolic Disorders Program, or if our plans are not executed in a timely fashion, this may cause reputational harm with our stockholders and the value of our securities may be adversely impacted. In addition, speculation regarding any developments related to the review of strategic alternatives and perceived uncertainties related to the future of the Company could cause our stock price to fluctuate significantly.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require substantial additional financial resources to continue as a going concern and to advance our Obesity and Metabolic Program, and if we raise additional funds, this may materially and negatively affect the value of your investment in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significant revenue and have incurred significant net losses in each year since our inception. For the year ended December 31, 2025, we had a net loss of $4.2 million, and, as of December 31, 2025, our accumulated deficit since inception in 2003 was $924.6 million. Following the closure and wind down of our TCR-T Library Phase 1/2 Trial and a reduction in force to reduce operating expenditures and net losses, we also internally developed an Obesity and Metabolic Disorders Program whereby we are now performing preclinical studies.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we have approximately $1.4 million of cash and cash equivalents. Following implementation of the Plan, we anticipate our cash resources will be sufficient to fund our operations into the second quarter of 2026. We have terminated our engagement with Cantor Fitzgerald &amp; Co. as strategic advisor effective January 8, 2026. Efforts to consummate a sale or out-license transaction of this legacy intellectual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portfolio have been unsuccessful to date. We are not actively pursuing broad strategic alternatives. Our primary focus is advancing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committed sources of additional capital at this time. Accordingly, we could exhaust our current cash resources before we are able to meaningfully advance our Obesity and Metabolic Disorders Program, requiring the Company to raise additional capital on uncertain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anticipate that advancing our Obesity and Metabolic Disorders Program will make it more difficult to raise additional capital on favorable terms. 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follow the guidance of Accounting Standards Codification, or ASC, Topic 205-40, Presentation of Financial Statements - Going Concern, in order to determine whether there is substantial doubt about our ability to continue as a going concern for one year after the date our financial statements are issued. 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forecast of cash resources is forward-looking information that involves risks and uncertainties, and our actual cash requirements may vary materially from our current expectations for a number of other factors that may include, but are not limited to, the progress of our Obesity and Metabolic Disorders Program. Global political and economic events, including the wars in Ukraine and Iran, may increase inflation and result in a significant disruption of global financial markets. If the disruption persists and deepens, we could experience an inability to access additional capital or make the terms of any available financing less attractive, which could in the future negatively affect our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incurred significant operating losses since our inception and expect to incur significant losses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operating losses and negative operating cash flows to continue for the foreseeable future as we continue to advance our Obesity and Metabolic Disorders Program through the preclinical stage of development, maintain the infrastructure necessary to support these activities and continue to incur costs associated with operating as a public company. We do not expect to generate any revenue from the sale of products for a number of years, if at all, and any such revenue will not be realized unless and until we obtain marketing approval for and successfully launch and commercialize a product candidate. If we obtain marketing approval for any current or future product candidates that we develop, we expect to incur significant commercialization expenses related to product sales, marketing, distribution and manufacturing. Some of these expenses may be incurred in advance of marketing approval and could be substantial.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operating expenses and net losses may fluctuate significantly from quarter to quarter and year to year, and we expect to continue to incur significant expenses and operating losses for the foreseeable future, particularly to the extent we: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advance our current research programs and conduct additional research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 our current product candidates and any future product candidates we may develop into preclinical and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marketing approvals for product candidates that successfully complete clinical trials, if 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expand, maintain, defend and enforce our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discover, validate and develop additional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manufacture increasing quantities of our current or future product candidates for use in preclinical studies, clinical trials and for any potential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acquire or in-license other product candidates, technologies or intellectual property;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hire additional personnel to support current or future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commercial and distribution infrastructure to commercialize products for which we may obtain marketing approval, if 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costs associated with current and future research, development and commercialization efforts and operations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successfully complete clinical trials and obtain regulatory approval for one or more of our product candidates, our ability to generate product revenue sufficient to achieve profitability will depend heavily on the successful commercialization of those product candidates. Because of the numerous risks and uncertainties associated with product development, we are unable to predict the timing or amount of increased expenses or when or if we will be able to achieve profitability. In addition, even if we are able to generate revenue from product sales, we may not become profitable.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Raising additional capital in the future may cause dilution to our stockholders, restrict our operations or require us to relinquish rights to product candidates or our technology. In addition, the issuance of shares of common stock upon the exercise of our outstanding prefunded warrants or common stock warrants will result in immediate and substantial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Unless and until we can generate a substantial amount of product revenue, we expect to seek additional capital through a combination of public or private equity offerings, debt, collaborations, licensing arrangements or other sources. Our issuance of additional securities, whether equity or debt, or the possibility of such issuance, may cause the market price of our common stock to decline, and our stockholders may not agree with our plans for additional capital or the terms of such capital. To the extent that we raise additional capital through the sale of equity or convertible debt securities, our stockholders’ ownership interest will be diluted, and the terms of these securities may include liquidation or other preferences that adversely affect the rights of our existing stockholders. In addition, the issuance of shares of common stock upon the exercise of our outstanding prefunded warrants or common stock warrants will result in immediate and substantial dilution to our existing stockholders. Similarly, if we issue additional shares of our common stock in one or more public or private offerings in the future, our existing stockholders will suffer further dilution. In addition, the incurrence of any indebtedness would result in additional payment obligations and is likely to involve restrictive covenants limiting our flexibility in conducting future business activities, and, in the event of insolvency, would be repaid before holders of our equity securities received any distribution of our corporate assets. Further, in raising funds through our collaborations and licensing arrangements with third parties, we have had to, and may in the future need to, relinquish valuable rights, partially or fully, to our technologies, future revenue streams, research programs or product candidates and grant licenses on terms unfavorable to us. In addition, securing additional capital would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pStyle w:val="TextBody"/>
        <w:bidi w:val="0"/>
        <w:spacing w:before="120" w:after="283"/>
        <w:jc w:val="both"/>
        <w:rPr>
          <w:rFonts w:ascii="Times New Roman" w:hAnsi="Times New Roman"/>
          <w:sz w:val="20"/>
        </w:rPr>
      </w:pPr>
      <w:r>
        <w:rPr>
          <w:rFonts w:ascii="Times New Roman" w:hAnsi="Times New Roman"/>
          <w:b/>
          <w:i/>
          <w:color w:val="000000"/>
          <w:sz w:val="20"/>
        </w:rPr>
        <w:t>If we are unable to successfully advance our obesity and metabolic disorders program or raise sufficient additional capital, our Board of Directors may ultimately decide to pursue a dissolution and liquidation.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can be no assurance that we will successfully advance our Obesity and Metabolic Disorders Program or raise sufficient additional capital. If we are unable to do so, our Board of Directors may decide to pursue a dissolution and liquidation. In such an event, the amount of cash available for distribution to our stockholders will depend heavily on the timing of such decision and, with the passage of time, the amount of cash available for distribution will be reduced as we continue to fund our operations and advance our Obesity and Metabolic Disorders Program. In addition, if our Board of Directors were to approve and recommend, and our stockholders were to approve, a dissolution and liquidation, we would be required under Delaware corporate law to pay our outstanding obligations, as well as to make reasonable provision for contingent and unknown obligations, prior to making any distributions in liquidation to our stockholders. As a result of this requirement, a portion of our assets may need to be reserved pending the resolution of such obligations and the timing of any such resolution is uncertain. In addition, we may be subject to litigation or other claims related to a dissolution and liquidation. If a dissolution and liquidation were pursued, our Board of Directors, in consultation with our advisors, would need to evaluate these matters and make a determination about a reasonable amount to reserve. Accordingly, holders of our common stock could lose all or a significant portion of their investment in the event of a liquidation, dissolution or winding up.</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 We are currently deficient under Nasdaq’s stockholders’ equity continued listing requirement and remain at risk of delisting, which could materially harm our liquidity, stock price, and ability to consummate strategic transactions.</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7, 2025, we received a notice from Nasdaq that our stockholders’ equity, as reported in our Annual Report on Form 10-K for the year ended December 31, 2024 ($2,063,000), did not satisfy Nasdaq Listing Rule 5550(b)(1), which requires minimum stockholders’ equity of $2,500,000 for continued listing on the Nasdaq Capital Market. On August 19, 2025, Nasdaq notified the Company that it had regained compliance with the continued listing requirements of the Nasdaq Capital Market. Based on the Company’s Quarterly Report on Form 10-Q for the period ended June 30, 2025, evidencing stockholders’ equity of $3.66 million, the Listing Qualifications staff determined that the Company now complies with the Nasdaq Listing Rules and confirmed that the matter is closed. Our stockholders’ equity as of December 31, 2025 was $2.2 million, which remains below the $2,500,000 threshold. We are likely to receive a notice from Nasdaq and may have 45 calendar days from the date of the notice to submit a compliance plan, and if accepted, we may be granted up to 180 calendar days from the date of the notice to evidence compliance. There can be no assurance that our compliance plan will be accepted or that we will regain compliance within any granted period. Given our current trading price of approximately $3.15 per share, the immediate risk of a Minimum Bid Price deficiency is lower at this time; however, our stock price remains volatile and a future decline could still trigger a separate delisting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Previously, we addressed and resolved a Minimum Bid Price deficiency under Nasdaq Listing Rule 5450(a)(1). We regained compliance on February 16, 2024, and successfully completed the mandatory one-year Panel Monitor period on February 16, 2025. Given our current trading price, the immediate risk of a new Minimum Bid Price deficiency is lower at this time; however, our stock price remains volatile and a future decline below $1.00 could still trigger a separate delisting notice. In the past, we effected a reverse stock split to address a bid price deficiency, and shareholders may not approve another reverse stock split if required in the future. Even if approved and effected, there can be no assurance that a reverse stock split would increase or sustain the trading price above $1.00 or maintain compliance.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our common stock is delisted by Nasdaq (whether due to stockholders’ equity, minimum bid price, or any other rule), it could lead to a number of negative implications, including an adverse effect on the price of our common stock, deterring broker-dealers from making a market in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otherwise seeking or generating interest in our common stock, increased volatility in our common stock, reduced liquidity in our common stock, the loss of federal preemption of state securities laws and greater difficulty in obtaining financing. Delisting could also cause a loss of confidence of our collaborators, vendors, suppliers and employees, which could harm our business and future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common stock is delisted by Nasdaq, the price of our common stock may decline, and although our common stock may be eligible to trade on the OTC Bulletin Board, another over-the-counter quotation system, or on the pink sheets, an investor may find it more difficult to dispose of their common stock or obtain accurate quotations as to the market value of our common stock. If our common stock is delisted from Nasdaq, trading in our securities may be subject to the SEC’s “penny stock” rules. These “penny stock” rules will require brokers trading in our common stock to adhere to more stringent rules and possibly result in a reduced level of trading activity in the secondary trading market for our common stock. The additional burdens imposed upon broker-dealers by these requirements may discourage broker-dealers from recommending transactions in our securities, which could severely limit the liquidity of our securities and consequently adversely affect the market price for our securities. Furthermore, if our common stock is delisted, we would expect it to have an adverse impact on our ability to raise capital or advance our obesity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our common stock is delisted, we would incur additional costs under state blue sky laws in connection with any sales of our securities. These requirements could severely limit the market liquidity of our common stock and the ability of our stockholders to sell our common stock in the secondary market.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identified a material weakness and may identify more in the future or otherwise fail to maintain an effective system of internal controls, which may result in material misstatements of our financial statements or could have a material adverse effect on our business and trading price of our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reporting requirements of the Securities Exchange Act of 1934, as amended, or the Exchange Act, the Sarbanes-Oxley Act of 2002, or the Sarbanes-Oxley Act, and the rules and regulations of the Nasdaq Capital Market. Pursuant to Section 404 of the Sarbanes-Oxley Act, we are required to perform system and process evaluation and testing of our internal control over financial reporting to allow our management to report on the effectiveness of our internal control over financial reporting. Based on that evaluation, our principal executive officer and principal financial officer have concluded that as of December 31, 2025, our disclosure controls and procedures were not effective due to a material weakness in internal control over financial reporting related to the lack of sufficient personnel to allow for the required segregation of duties. We may also be required to have our independent registered public accounting firm issue an opinion on the effectiveness of our internal control over financial reporting on an annual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we currently have only one full-time employee—our Chief Executive Officer—who performs or oversees multiple functions, and we rely on outside consultants (including for accounting and financial reporting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financial statements. Furthermore, if we cannot provide reliable financial reports or prevent fraud, our business, financial condition, results of operations, cash flows and prospects could be materially harmed and investors could lose confidence in our reported financial information.</w:t>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have no products approved for commercial sale and have not generated any revenue from product sales. We may never generate any revenue from product sales or become profitable and, if we achieve profitability, we may not be able to sustain 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not generated any revenue from product sales. We do not expect to generate any revenue from the sale of products for a number of years, and we may never generate revenue from the sale of products. Our ability to generate revenue from product sales depends on a number of factors, including our ability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complete our ongoing and planned preclinical studies and clinical trials for any current or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receive U.S. Food and Drug Administration, or FDA, clearance for any investigational new drug application, or IND, for any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successfully initiate and complete clinical trials for our clinical-stage product candidates and any other current or future product candidates, including all safety and efficacy studies necessary to obtain U.S. and foreign regulatory approval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and maintain clinical and commercial manufacturing capabilities or make arrangements with third-party manufacturers for clinical supply and commercial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launch commercial sales of our products, if and when approved, whether alone or in collaboration with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acceptance of the products, if and when approved,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effectively compete with other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and maintain healthcare coverage and adequate reimbursement for our products, if and when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a continued acceptable safety profile of our products following approval;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enforce and defend intellectual property rights and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biopharmaceutical product development, we are unable to accurately predict the timing or amount of expenses we may incur in connection with these activities prior to generating revenue from product sales. In addition, we may never succeed in these activities, and, even if we do, we may never generate revenues that are significant enough to achieve profitability. 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candidates or even continue our operations. A decline in the value of our company could also cause our stockholders to lose all or part of their investment.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obesity program is in an early preclinical stage and faces significant risks as we progress through additional animal studies and pursue a pathway to conducting IND enabling studies. We may never be able to advance the program to an IND filing, commercialize any product candidate, generate significant revenues, or attain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obesity assets are small molecules that have undergone limited testing in two non-GLP diet-induced obesity (DIO) mouse studies. These early studies showed dose-related body weight loss, favorable body composition changes, reductions in liver weight, and improvements in select biomarkers associated with liver injury compared to untreated controls. However, these results are from non-GLP studies in a single animal model and are subject to the inherent risks and limitations of preclinical development. The data from these studies are based on analyses to date and remain subject to further review as additional animal studies are completed. As we progress through additional animal studies, optimized formulation development, refined manufacturing processes, and IND-enabling toxicology and other studies, it is possible that the small molecules will demonstrate unanticipated safety or tolerability issues, or lack of consistent efficacy across models or species.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Preclinical data in animal models are not necessarily predictive of results in later studies or in humans, and many product candidates that appear promising in early animal testing fail to advance. Manufacturing small molecules for ongoing preclinical work and potential future IND-enabling or clinical use involves complex synthesis, scale-up, purity, and stability challenges that may cause delays, increased costs, or failure to produce material of suitable quality. We will require substantial additional capital to complete additional animal studies, conduct full IND-enabling work (including GLP toxicology, CMC, and other regulatory requirements), file an IND, and conduct any future clinical trials. There can be no assurance that we will be able to raise sufficient capital on acceptable terms, or at all, or that the data from additional studies will support progression to IND filing. These factors, combined with intense competition from multiple approved GLP-1-based and other obesity therapies, make it highly uncertain whether we will ever successfully advance our obesity program to IND status or commercialize any product candidate.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business is highly dependent on the success of our Obesity and Metabolic Disorders Program, which is in the early stages of development and will require significant additional preclinical and clinical development before we can seek regulatory approval for and commercially launch a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Commencing clinical trials in the U.S. is subject to acceptance by the FDA of an IND and finalizing the trial design based on discussions with the FDA and other regulatory authorities. In the event that the FDA requires us to complete additional preclinical studies, or we are required to satisfy other FDA requests prior to commencing clinical trials, the start of our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or impose stricter approval conditions than we currently expect. There are equivalent processes and risks applicable to clinical trial applications in other countries, including countries in the European Union, or EU.</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had no interactions with the FDA regarding our Obesity and Metabolic Disorders Program. We may experience issues surrounding preliminary trial execution, such as delays in FDA acceptance of any future INDs, revisions in trial design and finalization of trial protocols, difficulties with patient recruitment and enrollment, quality and provision of clinical supplies, or early safety signals.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not permitted to market any pharmaceutical product in the U.S. until we receive approval of a New Drug Application, or NDA, from the FDA. We have not previously submitted an NDA to the FDA, or similar marketing application to comparable foreign regulatory authorities. An NDA must include extensive preclinical and clinical data and supporting information to establish that the product candidate is safe, pure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 for each desired indication. An NDA must also include significant information regarding the chemistry, manufacturing and controls for the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FDA approval of an NDA is not guaranteed, and the review and approval process is expensive, uncertain and may take several years. The FDA also has substantial discretion in the approval process. The number and types of preclinical studies and clinical trials that will be required for an NDA approval varies depending on the product candidate, the disease or the condition that the product candidate is designed to treat and the regulations applicable to any particular product candidate. Despite the time and expense associated with preclinical studies and clinical trials, failure can occur at any stage.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 that we develop based on the completed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Generally, public concern regarding the safety of biopharmaceutical products could delay or limit our ability to obtain regulatory approval, result in the inclusion of unfavorable information in our labeling or require us to undertake other activities that may entail additional costs. We have not obtained FDA approval for any product. This lack of experience may impede our ability to obtain FDA approval in a timely manner, if at all, for any current or future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of our business, including our ability to finance our company and generate any revenue in the future, will primarily depend on the successful development, regulatory approval and commercialization of our current and any future product candidates, which may never occur. However, given our early stage of development, it will be years before we are able to demonstrate the safety and efficacy of a treatment sufficient to warrant approval for commercialization, and we may never be able to do so. If we are unable to develop, or obtain regulatory approval for, or, if approved, successfully commercialize our current or any future product candidates, we may not be able to generate sufficient revenue to continue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Preclinical development is uncertain. Our preclinical programs may experience delays or may never advance to clinical trials, which would adversely affect our ability to obtain regulatory approvals or commercialize these programs on a timely basis or at all, which would have an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 the preclinical stage of development, and the risk of failure is high. Before we can commence clinical trials for a product candidate, we must complete extensive preclinical testing and studies that support an IND in the U.S., or similar applications in other jurisdictions. We cannot be certain of the timely completion or outcome of our preclinical testing and studies, and we cannot predict if the FDA or other regulatory authorities will accept our proposed clinical programs or if the outcome of our preclinical testing and studies will ultimately support the further development of our programs. As a result, we cannot be sure that we will be able to submit an IND or similar applications for our current or future preclinical programs, including without limitation, on the timelines we expect, if at all, and we cannot be sure that submission of an IND or similar applications will result in the FDA or other regulatory authorities allowing clinical trials to begin.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reliance on third parties to formulate, manufacture and perform preclinical assays on our product candidates exposes us to a number of risks that may delay the development, regulatory approval and commercialization of our products or result in higher product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experience in biopharmaceutical manufacturing. We currently lack the internal resources and expertise to formulate or manufacture our own small molecule product candidates and, therefore, contract the manufacture of these with third parties for use in preclinical studies. We also intend to contract with one or more manufacturers to manufacture, supply, store, and distribute material for additional animal studies and IND-enabling work. In addition, we plan to use CDMOs, under our supervision, to perform our in vitro and in vivo preclinical studies of the small molecules. Our anticipated future reliance on a limited number of third-party manufacturers exposes us to risks including inability to identify or retain suitable manufacturers on acceptable terms, failure of manufacturers to perform as agreed, noncompliance with cGMP or other regulations, and loss of control over manufacturing processes and quality. Each of these risks could delay advancement of our obesityand metabolic disorders program or result in higher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competition from entities that have developed or may develop programs for the medical needs we plan to address with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commercialization of pharmaceutical products is highly competitive. If approved, ALN1003 or any other drug candidates we may develop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ALN1003 and any other drug candidates we may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Our operating history makes it difficult to evaluate our business and prospects.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not previously completed any pivotal clinical trials, submitted a BLA or demonstrated an ability to perform the functions necessary for the successful commercialization of any product candidates. If our preclinical Obesity and Metabolic Disorders Program is successful, successful commercialization of any product candidates will require us to perform a variety of functions,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Continuing to undertake preclinical development and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Participating in regulatory approval processes;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Formulating and manufacturing products;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Conducting sales and marketing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operations have been limited to organizing and staffing our company, acquiring, developing and securing our proprietary product candidates, and undertaking pre-clinical animal studies of our product candidates. These operations provide a limited basis for you to assess our ability to commercialize our product candidates and the advisability of investing in our securities. </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subjects us to the risk of liability claims associated with the use of hazardous materials and chemicals.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 research and development activities have involved and may in the future involve the controlled use of hazardous materials and chemicals. Although we believe that their safety procedures for using, storing, handling and disposing of these materials complied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results of operations, cash flows and prospects.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results of operations, cash flows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incur substantial liabilities and may be required to limit commercialization of our products in response to product liability lawsuits.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Decreased demand for our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Withdrawal of prior governmental approvals;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of related litigation;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Substantial monetary awards to patients;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Product recalls;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legacy TCR-T cell therapy programs and related intellectual property are no longer in active development and may not generate any meaningful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historically relied on license and research agreements, including the MD Anderson License and related R&amp;D agreements, to access key technologies for our former TCR-T cell therapy programs. Following our August 2023 strategic reprioritization and wind-down of the TCR-T Library Phase 1/2 Trial, we are no longer conducting clinical development under these arrangements. In December 2025, we entered into a Settlement and Release Agreement with MD Anderson to resolve certain outstanding invoices and payment disputes related to historical research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and development activities, pursuant to which we agreed to pay $285,000 in six installments through May 30, 2026. Residual obligations, including trial close-out and long-term follow-up, may result in limited ongoing payments or interactions.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terminated our engagement with Cantor Fitzgerald &amp; Co. as strategic advisor effective January 8, 2026. We are not actively pursuing broad strategic alternatives. Our primary focus is advancing our Obesity and Metabolic Disorders Program. Efforts to consummate a sale or out-license transaction of this legacy intellectual property portfolio have been unsuccessful to date. We may never realize any meaningful value from our legacy assets.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and those of our clinical investigators, contractors and consultants, are based throughout the US and other countries.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advance our Obesity and Metabolic Disorders Program depends on our ability to retain our remaining employee and consultants.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ability to advance our Obesity and Metabolic Disorders Program depends upon our ability to retain our remaining employee and consultants, the loss of whose services may adversely impact our progress. We are highly dependent on our sole full-time employee, who serves as our Chief Executive Officer and performs multiple executive, operational, and oversight roles. The loss of this individual’s services for any reason (including death, disability, resignation, or distraction) could severely disrupt our operations, delay advancement of our obesity program, impair our ability to meet regulatory and public-company obligations, and have a material adverse effect on our business, as there is no immediate successor or internal bench strength. We do not currently maintain key-person life insurance on this individual. Our heavy reliance on consultants for key functions such as finance (including accounting and financial reporting), legal, and other expertise further increases operational fragility, continuity risk, knowledge gaps, divided attention across clients, and the potential for coordination failures or inconsistent application of policies.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are unable to successfully retain our personnel, we are at risk of a disruption to our business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Any future growth would impose significant added responsibilities on members of management, including the need to identify, recruit, maintain and integrate additional employees.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our employee and reduced productivity among the remaining employee and certain consultants of the Company. For example, further workforce constraints could negatively impact our ability to advance our Obesity and Metabolic Disorders Program. Our future financial performance and our ability to develop our product candidates will depend, in part, on our ability to effectively manage any future growth or restructuring, as the case may be.</w:t>
      </w:r>
    </w:p>
    <w:p>
      <w:pPr>
        <w:pStyle w:val="TextBody"/>
        <w:bidi w:val="0"/>
        <w:spacing w:before="240" w:after="283"/>
        <w:jc w:val="both"/>
        <w:rPr>
          <w:rFonts w:ascii="Times New Roman" w:hAnsi="Times New Roman"/>
          <w:sz w:val="20"/>
        </w:rPr>
      </w:pPr>
      <w:r>
        <w:rPr>
          <w:rFonts w:ascii="Times New Roman" w:hAnsi="Times New Roman"/>
          <w:b/>
          <w:i/>
          <w:color w:val="000000"/>
          <w:sz w:val="20"/>
        </w:rPr>
        <w:t>We may become involved in litigation, including securities class action litigation, that could divert management’s attention and harm the Company’s business, and insurance coverage may not be sufficient to cover all costs and damages.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past, litigation, including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investigations by the SEC or other governmental agencies. We may be exposed to such litigation even if no wrongdoing occurred. Litigation is usually expensive and diverts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120" w:after="283"/>
        <w:jc w:val="both"/>
        <w:rPr>
          <w:rFonts w:ascii="Times New Roman" w:hAnsi="Times New Roman"/>
          <w:sz w:val="20"/>
        </w:rPr>
      </w:pPr>
      <w:r>
        <w:rPr>
          <w:rFonts w:ascii="Times New Roman" w:hAnsi="Times New Roman"/>
          <w:b/>
          <w:i/>
          <w:color w:val="000000"/>
          <w:sz w:val="20"/>
        </w:rPr>
        <w:t>*</w:t>
      </w:r>
      <w:r>
        <w:rPr>
          <w:rFonts w:ascii="Times New Roman" w:hAnsi="Times New Roman"/>
          <w:color w:val="000000"/>
          <w:sz w:val="20"/>
        </w:rPr>
        <w:t xml:space="preserve"> </w:t>
      </w:r>
      <w:r>
        <w:rPr>
          <w:rFonts w:ascii="Times New Roman" w:hAnsi="Times New Roman"/>
          <w:b/>
          <w:i/>
          <w:color w:val="000000"/>
          <w:sz w:val="20"/>
        </w:rPr>
        <w:t>Artificial intelligence and other advanced technologies used by us, our employees, consultants, or business partners may expose us to significant risks, including the loss or unauthorized disclosure of confidential information, intellectual property, or clinical and preclinical data, while the rapidly evolving regulatory and legal landscape surrounding artificial intelligence could materially and adversely affect our business.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and our employees, consultants, contract research organizations, contract development and manufacturing organizations, and other business partners may use commercially available artificial intelligence tools and platforms, including generative AI models, machine learning algorithms, and other advanced computational technologies, in connection with our preclinical research, data analysis, formulation development, computational chemistry efforts, and other business activities. These tools often require the input of large datasets, including potentially sensitive, proprietary, or confidential information such as research results, preclinical study data, clinical trial protocols, trade secrets, pending patent applications, and other 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our personnel or third-party service providers inadvertently or intentionally input confidential or proprietary information into external AI systems that are not fully controlled by us, such information may be stored, processed, or incorporated into the AI model’s training data and could be exposed to third parties, reproduced in AI-generated outputs, or otherwise compromised. This risk is heightened because many publicly available or third-party AI platforms do not guarantee confidentiality and may use submitted data to improve their own models. Any such exposure could result in the loss of our competitive advantage, impairment of our intellectual property rights (including the ability to obtain or enforce patents), breaches of confidentiality obligations to third parties (such as licensors or collaborators), or the inability to protect our Obesity and Metabolic Disorders Program, including ALN1003 and related analogs.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addition, the legal and regulatory framework governing artificial intelligence is uncertain and evolving rapidly at the federal, state, and international levels. Issues such as ownership of AI-generated outputs, potential infringement of third-party intellectual property rights embedded in AI training data, data privacy and security obligations, algorithmic bias, and liability for inaccuracies or harmful outputs remain unclear and subject to change. New laws, regulations, or enforcement actions could impose significant compliance burdens, restrict our ability to use certain AI tools, or expose us to litigation, regulatory investigations, fines, or other penalties.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have not yet adopted a formal artificial intelligence use policy or implemented comprehensive controls and procedures governing the use of AI tools by our personnel and third parties. As a result, we may be unable to adequately prevent or mitigate the risks associated with AI usage. Any failure to manage these risks appropriately could lead to the loss or unauthorized disclosure of valuable proprietary information, regulatory scrutiny, legal claims, reputational harm, delays in our development programs, or other adverse consequences that could materially and adversely affect our business, financial condition, results of operations, and prospects.</w:t>
      </w:r>
    </w:p>
    <w:p>
      <w:pPr>
        <w:pStyle w:val="TextBody"/>
        <w:bidi w:val="0"/>
        <w:spacing w:before="240" w:after="283"/>
        <w:jc w:val="both"/>
        <w:rPr>
          <w:rFonts w:ascii="Times New Roman" w:hAnsi="Times New Roman"/>
          <w:sz w:val="20"/>
        </w:rPr>
      </w:pPr>
      <w:r>
        <w:rPr>
          <w:rFonts w:ascii="Times New Roman" w:hAnsi="Times New Roman"/>
          <w:b/>
          <w:i/>
          <w:color w:val="000000"/>
          <w:sz w:val="20"/>
        </w:rPr>
        <w:t>*Cybersecurity incidents or IT failures could compromise sensitive information, disrupt operations, or reduce the value of our assets and impair our strategic alternatives.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the ordinary course of our business, we, our CROs, consultants, and other third parties collect and store sensitive data, including intellectual property, proprietary business information, financial data, and personally identifiable information. We rely on cloud-based systems to manage and maintain this information. The secure processing, storage, and transmission of this data is critical to our operations and our ability to pursue strategic alternatives. Despite security measures, our systems and those of third parties are vulnerable to cyber-attacks, breaches, viruses, unauthorized access, employee error, malfeasance, or disruptions from natural disasters, terrorism, war, or telecommunications failures. Any such event could result in unauthorized access, public disclosure, theft, or loss of sensitive data. This could lead to legal claims, liability under privacy laws, government enforcement actions, regulatory penalties, reputational harm, and substantial remediation costs. A breach involving proprietary data (e.g., obesity program results) could materially decrease the value of our assets and make it more difficult to consummate a strategic transaction. While we are not aware of any material system failure or security breach to date, any disruption or breach could adversely affect our business, financial condition, and ability to pursue strategic opportunities.</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or our licensors fail to adequately protect or enforce our intellectual property rights or secure rights to patents of others, the value of our intellectual property rights would diminish and our ability to successfully develop our product candidates may be materially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 Our ability to consummate certain strategic transactions, including strategic partnerships or out-licensing opportunities, among others, may also be impaired if we are unable to adequately protect our intellectual property or if we infringe on the proprietary rights of others.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maintained our legacy TCR-T related patent portfolio including those exclusive rights in the field of cancer treatment to certain U.S. and foreign intellectual property with respect to certain cell therapy and related technologies licensed from MD Anderson. We anticipate that we will file additional patent applications both in the United States and in other jurisdictions for our Obesity and Metabolic Disorders Program and related technologies. However, we cannot predict or guarantee for either our in-licensed patent portfolios or for Alaunos’ proprietary patent portfolio: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if at all, any patents will be granted on such applications;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scope of protection that any patents, if obtained, will afford us against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third parties will not find ways to invalidate and/or circumvent our patents, if obtained;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others will not obtain patents claiming subject matter related to or relevant to our product candidates;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That we will not need to initiate litigation and/or administrative proceedings that may be costly whether we win or lose.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 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 </w:t>
      </w:r>
    </w:p>
    <w:p>
      <w:pPr>
        <w:pStyle w:val="TextBody"/>
        <w:bidi w:val="0"/>
        <w:spacing w:before="240" w:after="283"/>
        <w:jc w:val="both"/>
        <w:rPr>
          <w:rFonts w:ascii="Times New Roman" w:hAnsi="Times New Roman"/>
          <w:sz w:val="20"/>
        </w:rPr>
      </w:pPr>
      <w:r>
        <w:rPr>
          <w:rFonts w:ascii="Times New Roman" w:hAnsi="Times New Roman"/>
          <w:b/>
          <w:i/>
          <w:color w:val="000000"/>
          <w:sz w:val="20"/>
        </w:rPr>
        <w:t>If we are unable to protect the confidentiality of our confidential information, our business and competitive position would be significantly harmed.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sole employee,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 </w:t>
      </w:r>
    </w:p>
    <w:p>
      <w:pPr>
        <w:pStyle w:val="TextBody"/>
        <w:bidi w:val="0"/>
        <w:spacing w:before="240" w:after="283"/>
        <w:jc w:val="both"/>
        <w:rPr>
          <w:rFonts w:ascii="Times New Roman" w:hAnsi="Times New Roman"/>
          <w:sz w:val="20"/>
        </w:rPr>
      </w:pPr>
      <w:r>
        <w:rPr>
          <w:rFonts w:ascii="Times New Roman" w:hAnsi="Times New Roman"/>
          <w:b/>
          <w:i/>
          <w:color w:val="000000"/>
          <w:sz w:val="20"/>
        </w:rPr>
        <w:t>Third-party claims of intellectual property infringement would require us to spend significant time and money and could prevent us from developing or commercializing our products.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hAnsi="Times New Roman"/>
          <w:i/>
          <w:color w:val="000000"/>
          <w:sz w:val="20"/>
        </w:rPr>
        <w:t>inter partes</w:t>
      </w:r>
      <w:r>
        <w:rPr>
          <w:rFonts w:ascii="Times New Roman" w:hAnsi="Times New Roman"/>
          <w:color w:val="000000"/>
          <w:sz w:val="20"/>
        </w:rPr>
        <w:t xml:space="preserve"> review, or reexamination. In other jurisdictions, our patent estate may be subject to pre- and post-grant opposition, nullity, revocation proceedings and the like. Asserting and defending against intellectual property actions are costly and divert technical and management personnel away from their normal responsibilities.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patent landscape in the fields of obesity and legacy immuno-oncology is particularly complex. We are aware of numerous United States and foreign patents and pending patent applications of third parties directed to compositions, methods of use and methods of manufacture relevant to our programs. In addition, there may be patents and patent applications in the field of which we are not aware. The Obesity and Metabolic Disorders Program we have developed is early-stage technology and we are pursuing patent protection for this program. Although we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a claim for patent infringement is asserted, there can be no assurance that the resolution of the claim would permit us to continue developing or monetizing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development or monetization of the affected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 adverse determination in a proceeding involving our owned or licensed intellectual property may allow entry in the market of substitutes, including biosimilar or generic substitutes, for our products. </w:t>
      </w:r>
    </w:p>
    <w:p>
      <w:pPr>
        <w:pStyle w:val="TextBody"/>
        <w:bidi w:val="0"/>
        <w:spacing w:before="240" w:after="283"/>
        <w:jc w:val="both"/>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license rights to products and technology that are important to our business, and we expect to enter into additional licenses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failure by us to obtain a needed license, comply with any of these obligations or any other breach by us of our license agreements could give the licensor the right to terminate the license in whole, terminate the exclusive nature of the license or bring a claim against us for damages. Any such termination or claim could have a material adverse effect on our business, financial condition, results of operations, cash flows and prospects.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In addition, the licensing or acquisition of third-party intellectual property rights is a highly competitive area, and a number of more established companies are also pursuing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cash flows and prospects. </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subject to claims by third parties asserting that our employee or we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of our current and former employees and consultants were previously employed at universities or at other biotechnology or pharmaceutical companies, including our competitors or potential competitors. Although we try to ensure that our former employees and our current employee does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while it is our policy to require our sole employee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 </w:t>
      </w:r>
    </w:p>
    <w:p>
      <w:pPr>
        <w:pStyle w:val="TextBody"/>
        <w:bidi w:val="0"/>
        <w:spacing w:before="240" w:after="283"/>
        <w:jc w:val="both"/>
        <w:rPr>
          <w:rFonts w:ascii="Times New Roman" w:hAnsi="Times New Roman"/>
          <w:sz w:val="20"/>
        </w:rPr>
      </w:pPr>
      <w:r>
        <w:rPr>
          <w:rFonts w:ascii="Times New Roman" w:hAnsi="Times New Roman"/>
          <w:b/>
          <w:color w:val="000000"/>
          <w:sz w:val="20"/>
        </w:rPr>
        <w:t>RISKS RELATED TO STOCK OWNERSHIP IN OUR COMPANY AND OTHER RISKS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Our stock price has been, and may continue to be, volatile.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market price for our common stock is volatile and may fluctuate significantly in response to a number of factors, most of which we cannot control, including: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Price and volume fluctuations in the overall stock market;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operating results and performance and stock market valuations of other biopharmaceutical companies generally, or those that develop and commercialize obesity or metabolic disorder drugs in particular;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conditions or trends in our industry or the economy as a whole;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Preclinical studies or clinical trial results, if we initiate clinical development;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clinical trials of our product candidates or any future clinical trials we may conduct, or changes in the development status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statements by third parties like trial participants and clinical investigators regarding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Public concern as to the safety of drugs developed by us or others;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or operational projections we may provide to the public, any changes in these projections or our failure to meet these projections;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Comments by securities analysts or changes in financial estimates or ratings by any securities analysts who follow our common stock, our failure to meet these estimates or failure of those analysts to initiate or maintain coverage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regulation;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FDA determinations on the approval of a product candidate NDA or BLA submission;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sustainability of an active trading market for our common stock;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Future sales of our common stock by us, our executive officers, directors and significant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mergers or acquisition transactions;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inclusion or removal from certain stock indices;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delisting from Nasdaq;</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in patent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Changes in reimbursement policies;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medical innovations or new products by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of changes in our senior management or directors;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industry, political and market conditions, including, but not limited to, the ongoing impact of global economic conditions;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events or factors, including those resulting from war, incidents of terrorism, natural disasters, pandemics or responses to these events;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stock market in general and our stock in particular from time to time experiences significant price and volume fluctuations unrelated to the operating performance of particular companies, which has resulted in decreased stock prices for many companies notwithstanding the lack of a fundamental change in their underlying business models or prospects. Public debt and equity markets, and in particular the Nasdaq Capital Market, have experienced extreme price and volume fluctuations that have affected and continue to affect the market prices of equity securities of many biopharmaceutical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statements made by third parties such as trial participants and clinical investigators about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significant harm to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Anti-takeover provisions in our charter documents and under Delaware law may make an acquisition of us, which may be beneficial to our stockholders, more difficult.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 have the effect of delaying, deferring or preventing a change in control that our stockholders might consider to be in their best interests.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approached by a third-party in connection with an acquisition, merger or reverse merger, and our Board of Directors does not believe that a transaction with such party is in the best interest of our stockholders, we may rely on the provisions described above to prevent an acquisition by such party in order to maximize stockholder value. There is no guarantee that we will be able to find a transaction that delivers superior value to our stockholders.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Delaware General Corporation Law confers jurisdiction on the Court of Chancery of the State of Delaware; or (vi) any action asserting a claim against us or any of our directors, officers or other employees governed by the internal affairs doctrine.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provisions would not apply to suits brought to enforce a duty or liability created by the Exchange Act. Furthermore, Section 22 of the Securities Act creates concurrent jurisdiction for federal and state courts over all Securities Act actions. Accordingly, both state and federal courts have jurisdiction to entertain such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pStyle w:val="TextBody"/>
        <w:bidi w:val="0"/>
        <w:spacing w:before="240" w:after="283"/>
        <w:jc w:val="both"/>
        <w:rPr>
          <w:rFonts w:ascii="Times New Roman" w:hAnsi="Times New Roman"/>
          <w:sz w:val="20"/>
        </w:rPr>
      </w:pPr>
      <w:r>
        <w:rPr>
          <w:rFonts w:ascii="Times New Roman" w:hAnsi="Times New Roman"/>
          <w:b/>
          <w:i/>
          <w:color w:val="000000"/>
          <w:sz w:val="20"/>
        </w:rPr>
        <w:t>Because we do not expect to pay dividends, you will not realize any income from an investment in our common stock unless and until you sell your shares at a profit.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paid dividends on our common stock, and we do not anticipate that we will pay any dividends for the foreseeable future. Accordingly, any return on an investment in us will be realized, if at all, only when you sell shares of our common stock. </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use net operating loss carryforwards and research tax credits to reduce future tax payments may be limited or restricted.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 </w:t>
      </w:r>
    </w:p>
    <w:p>
      <w:pPr>
        <w:pStyle w:val="TextBody"/>
        <w:bidi w:val="0"/>
        <w:spacing w:before="240" w:after="283"/>
        <w:jc w:val="both"/>
        <w:rPr>
          <w:rFonts w:ascii="Times New Roman" w:hAnsi="Times New Roman"/>
          <w:sz w:val="20"/>
        </w:rPr>
      </w:pPr>
      <w:r>
        <w:rPr>
          <w:rFonts w:ascii="Times New Roman" w:hAnsi="Times New Roman"/>
          <w:b/>
          <w:i/>
          <w:color w:val="000000"/>
          <w:sz w:val="20"/>
        </w:rPr>
        <w:t>If securities' and/or industry analysts' recommendations change adversely or if our business, financial condition, results of operations, cash flows or prospects do not meet their expectations, our stock price and trading volume could significantly decline.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business, financial condition, results of operations, cash flows or prospects do not meet their expectations, our stock price could significantly decline. If our common stock is delisted by Nasdaq, the impact of analysts ceasing to cover our securities may negatively impact the price of our common stock more dramatically.</w:t>
      </w:r>
    </w:p>
    <w:p>
      <w:pPr>
        <w:pStyle w:val="TextBody"/>
        <w:bidi w:val="0"/>
        <w:spacing w:before="240" w:after="283"/>
        <w:jc w:val="both"/>
        <w:rPr>
          <w:rFonts w:ascii="Times New Roman" w:hAnsi="Times New Roman"/>
          <w:sz w:val="20"/>
        </w:rPr>
      </w:pPr>
      <w:r>
        <w:rPr>
          <w:rFonts w:ascii="Times New Roman" w:hAnsi="Times New Roman"/>
          <w:b/>
          <w:i/>
          <w:color w:val="000000"/>
          <w:sz w:val="20"/>
        </w:rPr>
        <w:t>Our business could be materially and negatively affected as a result of the actions of activist stockholders.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stockholders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Board of Directors elects to pursue a strategic alternative requiring a stockholder vote, activists may pursue a campaign against the transaction and as a result may make consummating the transaction more difficult, or impossible, despite the Board of Directors' conclusions that such transaction is in the best interest of our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on October 30, 2025, a group of stockholders led by Adrian Price filed a Schedule 13D reporting beneficial ownership of approximately 8.6% of our outstanding common stock (as amended through Amendment No. 4 filed March 5, 2026). The group consists of Adrian Price and numerous individual and entity co-filers (including HexagonONE Ltd, Alimenta Holding Limited, Krakatau Holding Limited, and others), with aggregate reported beneficial ownership of 189,061 shares. In a letter dated February 20, 2026 (attached as Exhibit 21 to Amendment No. 4), the group proposed a $7 million private placement financing (potentially resulting in a change of control) through affiliated entities, reiterated the nomination of Gerald W. Bruce for the Board, and requested a meeting with the Board within five business days to discuss terms and begin due diligence. The letter stated that if the Board did not engage meaningfully within five business days, the group may seek to purchase additional shares in the market, undertake a tender offer to shareholders, or pursue other activist actions (including a deliberate investor relations campaign). The Company held a meeting with representatives of the group following the letter, and requested follow-up information regarding the three foreign entities (HexagonONE Ltd, Alimenta Holding Limited, and Krakatau Holding Limited) that were proposed to participate in the financing. As of the date of this Annual Report, the Company has not received the requested follow-up information, and there can be no assurance that further discussions or a transaction will occur on terms acceptable to the Company or at all. Any escalation by this group into a proxy contest, tender offer, or other adversarial actions could increase costs, divert management attention, create uncertainty, and materially harm our business, stock price, and ability to consummate value-maximizing transactions.</w:t>
      </w:r>
    </w:p>
    <w:p>
      <w:pPr>
        <w:pStyle w:val="TextBody"/>
        <w:bidi w:val="0"/>
        <w:spacing w:before="240" w:after="283"/>
        <w:jc w:val="both"/>
        <w:rPr>
          <w:rFonts w:ascii="Times New Roman" w:hAnsi="Times New Roman"/>
          <w:sz w:val="20"/>
        </w:rPr>
      </w:pPr>
      <w:r>
        <w:rPr>
          <w:rFonts w:ascii="Times New Roman" w:hAnsi="Times New Roman"/>
          <w:b/>
          <w:i/>
          <w:color w:val="000000"/>
          <w:sz w:val="20"/>
        </w:rPr>
        <w:t>Our principal stockholders, executive officers and directors have substantial control over the Company, which may prevent you and other stockholders from influencing significant corporate decisions and may significantly harm the market price of our common stock.</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executive officers and directors beneficially owned, in the aggregate, approximately 25.71% of our outstanding common stock (including options exercisable within 60 days). This includes significant holdings by certain directors and former executives, such as Robert W. Postma (approximately 17.47% beneficial ownership, including shares issuable upon conversion of preferred stock and options).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we have issued Series A-1 Convertible Preferred Stock and Series A-2 Convertible Preferred Stock (collectively, the “Series A Preferred Stock”), each with a liquidation preference of $1,000 per share, cumulative dividends at 10% per annum (payable in additional shares of Series A Preferred Stock), and rights to convert into Common Stock at initial conversion prices of $2.76 (Series A-1) and $4.49 (Series A-2), subject to adjustments. Holders of Series A Preferred Stock are entitled to vote on an as-converted basis (1:1 with Common Stock) on all matters submitted to stockholders (voting together as a single class), except as otherwise required by law or the Certificate of Designation. Upon a Change of Control (as defined in the Certificates of Designation), the Series A Preferred Stock automatically converts into Common Stock. The Series A Preferred Stock ranks senior to Common Stock with respect to dividends and liquidation distributions, and the issuance of additional preferred stock or conversion of existing shares could further concentrate voting control, dilute common stockholders, or affect our ability to consummate certain transactions. These rights, preferences, and privileges senior to common stock could adversely affect the voting power, economic interests, and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Accordingly, this concentration of ownership and the rights associated with our Series A Preferred Stock may harm the market price of our common stock by: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Delaying, deferring or preventing a change in control;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Impeding a merger, consolidation, takeover or other business combination involving us; 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Discouraging a potential acquirer from making a tender offer or otherwise attempting to obtain control of us.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this significant concentration of stock ownership and preferred stock rights may adversely affect the trading price of our common stock should investors perceive disadvantages in owning shares of common stock in a company that has such concentrated ownership.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smaller reporting companies may make our common stock less attractive to investors.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business, financial condition, results of operations, cash flows and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our public float exceeds $250 million as of the last business day of our most recently completed second quarter if our annual revenues are $100 million or more as of our most recently completed fiscal year, or until our public float exceeds $700 million as of the last business day of our most recently completed second quarter if our annual revenues are less than $100 million as of our most recently completed fiscal year.</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issued preferred stock, and future issuances of preferred stock could adversely affect the rights of holders of our common stock.</w:t>
      </w:r>
    </w:p>
    <w:p>
      <w:pPr>
        <w:pStyle w:val="TextBody"/>
        <w:bidi w:val="0"/>
        <w:jc w:val="both"/>
        <w:rPr>
          <w:rFonts w:ascii="Times New Roman" w:hAnsi="Times New Roman"/>
          <w:color w:val="000000"/>
          <w:sz w:val="20"/>
        </w:rPr>
      </w:pPr>
      <w:r>
        <w:rPr>
          <w:rFonts w:ascii="Times New Roman" w:hAnsi="Times New Roman"/>
          <w:color w:val="000000"/>
          <w:sz w:val="20"/>
        </w:rPr>
        <w:t>Our amended and restated certificate of incorporation authorizes our Board of Directors to issue up to 30,000,000 shares of preferred stock in one or more series and to fix the rights, preferences, privileges and restrictions of those shares, including dividend rights, conversion rights, voting rights, terms of redemption, liquidation preferences and the number of shares constituting any series or the designation of such series, without any further vote or action by our stockholders. The issuance of preferred stock could have the effect of delaying, deferring or preventing a change in control of the Company and may adversely affect the market price of, and the voting and other rights of the holders of, our common stock. We currently have outstanding shares of Series A Preferred Stock, which have certain rights, preferences and privileges senior to our common stock. Future issuances of preferred stock could further dilute the voting power and economic interests of common stockholders and may adversely affect the market price of our common stock.</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*Ineffective investor relations and public relations efforts could harm our reputation, stock price, and ability to attract capital or strategic partners.</w:t>
      </w:r>
    </w:p>
    <w:p>
      <w:pPr>
        <w:pStyle w:val="TextBody"/>
        <w:bidi w:val="0"/>
        <w:jc w:val="both"/>
        <w:rPr>
          <w:rFonts w:ascii="Times New Roman" w:hAnsi="Times New Roman"/>
          <w:color w:val="000000"/>
          <w:sz w:val="20"/>
        </w:rPr>
      </w:pPr>
      <w:r>
        <w:rPr>
          <w:rFonts w:ascii="Times New Roman" w:hAnsi="Times New Roman"/>
          <w:color w:val="000000"/>
          <w:sz w:val="20"/>
        </w:rPr>
        <w:br/>
        <w:t>As a small company with limited resources and a single full-time employee, our ability to effectively communicate with investors, analysts, media, and the public is constrained. Inadequate investor relations (IR) and public relations (PR) efforts could result in: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visibility and credibility in the financial and biotech communities;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Failure to timely or accurately disclose material information, leading to increased volatility or regulatory scrutiny;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Loss of analyst coverage or negative analyst sentiment;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Difficulty attracting institutional investors, potential partners, or strategic alternatives;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Perceived lack of transparency or management accessibility, harming our reputation;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Challenges in marketing our obesity program or legacy assets effectively to potential stakeholders.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These factors could materially and adversely affect our stock price, liquidity, and ability to raise capital or consummate strategic transactions.</w:t>
      </w:r>
    </w:p>
    <w:p>
      <w:pPr>
        <w:pStyle w:val="TextBody"/>
        <w:bidi w:val="0"/>
        <w:spacing w:before="240" w:after="283"/>
        <w:jc w:val="both"/>
        <w:rPr>
          <w:rFonts w:ascii="Times New Roman" w:hAnsi="Times New Roman"/>
          <w:sz w:val="20"/>
        </w:rPr>
      </w:pPr>
      <w:bookmarkStart w:id="5" w:name="item_1b_unresolved_staff_comments_"/>
      <w:bookmarkEnd w:id="5"/>
      <w:r>
        <w:rPr>
          <w:rFonts w:ascii="Times New Roman" w:hAnsi="Times New Roman"/>
          <w:b/>
          <w:i/>
          <w:color w:val="000000"/>
          <w:sz w:val="20"/>
        </w:rPr>
        <w:t>Item 1B. Unresolved Staff Comments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both"/>
        <w:rPr>
          <w:rFonts w:ascii="Times New Roman" w:hAnsi="Times New Roman"/>
          <w:sz w:val="20"/>
        </w:rPr>
      </w:pPr>
      <w:bookmarkStart w:id="6" w:name="item_1c_cybersecurity"/>
      <w:bookmarkEnd w:id="6"/>
      <w:r>
        <w:rPr>
          <w:rFonts w:ascii="Times New Roman" w:hAnsi="Times New Roman"/>
          <w:b/>
          <w:i/>
          <w:color w:val="000000"/>
          <w:sz w:val="20"/>
        </w:rPr>
        <w:t>Item 1C. Cybersecurity</w:t>
      </w:r>
      <w:r>
        <w:rPr>
          <w:rFonts w:ascii="Times New Roman" w:hAnsi="Times New Roman"/>
          <w:color w:val="000000"/>
          <w:sz w:val="20"/>
        </w:rPr>
        <w:t xml:space="preserv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Cybersecurity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implemented a cybersecurity program designed to support the effectiveness of our systems and our preparedness for information security risks. This program includes safeguards, such as: password protection; multi-factor authentication; monitoring and alerting systems for internal and external threats; and regular evaluations of our cybersecurity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a risk-based approach with respect to our use and oversight of third-party service providers, tailoring processes according to the nature and sensitivity of the data accessed, processed, or stored by such third-party service provider. We also seek to include appropriate security terms in our contracts, where applicable as part of our oversight of third-party providers.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Process for Assessing, Identifying and Managing Material Risks from Cybersecurity Threats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maintain an incident response program. In the event of a cybersecurity incident, designated personnel are responsible for assessing the severity of an incident and associated threat, containing the threat, remediating the threat, including recovery of data and access to systems, analyzing any reporting obligations associated with the incident, and performing post-incident analysis and program enhancements. We maintain an Incident Response Plan, which includes an Incident Response Process in the event of a significant cybersecurity incident. In the event of a significant cybersecurity incident, our head of administration will chair an incident response team to handle the incident. Such incident response team will include members of IT, finance (if applicable), legal, communications, human resources and any affected unit or department. IT, along with a designated forensic team, will use the Incident Response Process to guide the response.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Management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controls and processes employed to assess, identify and manage material risks from cybersecurity threats are implemented and overseen by our VP of Finance and our managed service provider. Our VP of Finance is responsible for the day-to-day management of the cybersecurity program, including the prevention, detection, investigation, response to, and recovery from cybersecurity threats and incidents, and is regularly engaged to help ensure the cybersecurity program functions effectively in the face of evolving cybersecurity threats. Our VP of Finance oversees the Incident Response Plan and briefs our board of directors on cybersecurity matters, including the nature and design of our cybersecurity program, and threats, events, and program enhancements.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Board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its oversight role, our Board of Directors is expected to specifically consider risks, including with respect to privacy, information technology and cybersecurity and threats to technology infrastructure.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 regular basis, the VP of Finance reports to our Board of Directors on cybersecurity matters, including key risks, the potential impact of those exposures on our business, financial condition, results of operations, cash flows and prospects, and the programs and steps implemented by our management team to monitor and mitigate risks.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Cybersecurity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cybersecurity risk management processes are integrated into our overall approach to risk management. Given our nature and size, we do not have a dedicated enterprise risk function, but our management team regularly considers and evaluates risks. As part of that risk management process, our management team identifies, assesses and evaluates risks impacting our operations, including those risks related to cybersecurity, and raises them for internal discussion, and where it is determined to be appropriate, issues are also raised to our Board of Directors for consideration.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Annual Report on Form 10-K, we are not aware of any previous cybersecurity incidents that have materially affected or are reasonably likely to materially affect our business, financial condition, results of operations, cash flows and prospects. While we have implemented a cybersecurity program, the techniques used to infiltrate information technology systems continue to evolve. Accordingly, we may not be able to timely detect threats or anticipate and implement adequate security measures. For additional information regarding risks relating to privacy and cybersecurity, see "Item IA—Risk Factors—Risks Related to Our Business."</w:t>
      </w:r>
    </w:p>
    <w:p>
      <w:pPr>
        <w:pStyle w:val="TextBody"/>
        <w:bidi w:val="0"/>
        <w:spacing w:before="240" w:after="283"/>
        <w:jc w:val="both"/>
        <w:rPr>
          <w:rFonts w:ascii="Times New Roman" w:hAnsi="Times New Roman"/>
          <w:b/>
          <w:i/>
          <w:color w:val="000000"/>
          <w:sz w:val="20"/>
        </w:rPr>
      </w:pPr>
      <w:bookmarkStart w:id="7" w:name="item_2_properties"/>
      <w:bookmarkEnd w:id="7"/>
      <w:r>
        <w:rPr>
          <w:rFonts w:ascii="Times New Roman" w:hAnsi="Times New Roman"/>
          <w:b/>
          <w:i/>
          <w:color w:val="000000"/>
          <w:sz w:val="20"/>
        </w:rPr>
        <w:t>Item 2. Properties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corporate office is located at 501 E. Las Olas Blvd., Suite 300 Fort Lauderdale, FL 33301. We believe that our existing facilities are adequate to meet our current needs. </w:t>
      </w:r>
    </w:p>
    <w:p>
      <w:pPr>
        <w:pStyle w:val="TextBody"/>
        <w:bidi w:val="0"/>
        <w:spacing w:before="240" w:after="283"/>
        <w:jc w:val="both"/>
        <w:rPr>
          <w:rFonts w:ascii="Times New Roman" w:hAnsi="Times New Roman"/>
          <w:sz w:val="20"/>
        </w:rPr>
      </w:pPr>
      <w:bookmarkStart w:id="8" w:name="item_3_legal_proceedings"/>
      <w:bookmarkEnd w:id="8"/>
      <w:r>
        <w:rPr>
          <w:rFonts w:ascii="Times New Roman" w:hAnsi="Times New Roman"/>
          <w:b/>
          <w:i/>
          <w:color w:val="000000"/>
          <w:sz w:val="20"/>
        </w:rPr>
        <w:t>Item 3.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the ordinary course of business, we may periodically become subject to legal proceedings and claims arising in connection with ongoing business activities. The results of litigation and claims cannot be predicted with certainty, and unfavorable resolutions are possible and could materially affect our business, financial condition, results of operations, cash flows and prospects. In addition, regardless of the outcome, litigation could have a material and adverse impact on us because of defense costs, diversion of management resources and other factors.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do not have any pending litigation that, separately or in the aggregate, would, in the opinion of management, be reasonably likely to have a material adverse effect on our business, financial condition, results of operations, cash flows or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t> </w:t>
      </w:r>
    </w:p>
    <w:p>
      <w:pPr>
        <w:pStyle w:val="TextBody"/>
        <w:bidi w:val="0"/>
        <w:spacing w:before="240" w:after="283"/>
        <w:jc w:val="both"/>
        <w:rPr>
          <w:rFonts w:ascii="Times New Roman" w:hAnsi="Times New Roman"/>
          <w:sz w:val="20"/>
        </w:rPr>
      </w:pPr>
      <w:bookmarkStart w:id="9" w:name="item_4_mine_safety_disclosures"/>
      <w:bookmarkEnd w:id="9"/>
      <w:r>
        <w:rPr>
          <w:rFonts w:ascii="Times New Roman" w:hAnsi="Times New Roman"/>
          <w:b/>
          <w:i/>
          <w:color w:val="000000"/>
          <w:sz w:val="20"/>
        </w:rPr>
        <w:t>Item 4. Mine Safety Disclosures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bkmk_106"/>
      <w:bookmarkEnd w:id="10"/>
      <w:r>
        <w:rPr>
          <w:rFonts w:ascii="Times New Roman" w:hAnsi="Times New Roman"/>
          <w:b/>
          <w:color w:val="000000"/>
          <w:sz w:val="20"/>
        </w:rPr>
        <w:t>PART II</w:t>
      </w:r>
    </w:p>
    <w:p>
      <w:pPr>
        <w:pStyle w:val="TextBody"/>
        <w:bidi w:val="0"/>
        <w:spacing w:before="240" w:after="283"/>
        <w:jc w:val="both"/>
        <w:rPr>
          <w:rFonts w:ascii="Times New Roman" w:hAnsi="Times New Roman"/>
          <w:sz w:val="20"/>
        </w:rPr>
      </w:pPr>
      <w:bookmarkStart w:id="11" w:name="item_5_market_for_registrants_common"/>
      <w:bookmarkEnd w:id="11"/>
      <w:r>
        <w:rPr>
          <w:rFonts w:ascii="Times New Roman" w:hAnsi="Times New Roman"/>
          <w:b/>
          <w:i/>
          <w:color w:val="000000"/>
          <w:sz w:val="20"/>
        </w:rPr>
        <w:t>Item 5. Market for Registrant’s Common</w:t>
      </w:r>
      <w:r>
        <w:rPr>
          <w:rFonts w:ascii="Times New Roman" w:hAnsi="Times New Roman"/>
          <w:color w:val="000000"/>
          <w:sz w:val="20"/>
        </w:rPr>
        <w:t xml:space="preserve"> </w:t>
      </w:r>
      <w:r>
        <w:rPr>
          <w:rFonts w:ascii="Times New Roman" w:hAnsi="Times New Roman"/>
          <w:b/>
          <w:i/>
          <w:color w:val="000000"/>
          <w:sz w:val="20"/>
        </w:rPr>
        <w:t>Equity, Related Stockholders Matters and Issuer Purchases of Equity Securities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Market for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trades on the Nasdaq Capital Market under the symbol “TCRT.”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Record 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31, 2026, we had approximately 131 holders of record of our common stock, one of which was Cede &amp; Co., a nominee for Depository Trust Company, or DTC. Shares of common stock that are held by financial institutions as nominees for beneficial owners or in “street name” are deposited into participant accounts at DTC and are considered to be held of record by Cede &amp; Co. as one stockholder. </w:t>
      </w:r>
    </w:p>
    <w:p>
      <w:pPr>
        <w:pStyle w:val="TextBody"/>
        <w:bidi w:val="0"/>
        <w:spacing w:before="240" w:after="283"/>
        <w:jc w:val="both"/>
        <w:rPr>
          <w:rFonts w:ascii="Times New Roman" w:hAnsi="Times New Roman"/>
          <w:sz w:val="20"/>
        </w:rPr>
      </w:pPr>
      <w:r>
        <w:rPr>
          <w:rFonts w:ascii="Times New Roman" w:hAnsi="Times New Roman"/>
          <w:b/>
          <w:color w:val="000000"/>
          <w:sz w:val="20"/>
        </w:rPr>
        <w:t>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never declared or paid a cash dividend on our common stock and do not anticipate paying any cash dividends in the foreseeable future.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Unregistered Sales of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sell or issue any equity securities during the three months ended December 31, 2025 that were not registered under the Securities Act.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Repurchases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repurchases of our common stock by the Company during the fiscal quarter ended December 31, 2025.</w:t>
      </w:r>
    </w:p>
    <w:p>
      <w:pPr>
        <w:pStyle w:val="TextBody"/>
        <w:bidi w:val="0"/>
        <w:spacing w:before="240" w:after="283"/>
        <w:jc w:val="both"/>
        <w:rPr>
          <w:rFonts w:ascii="Times New Roman" w:hAnsi="Times New Roman"/>
          <w:b/>
          <w:i/>
          <w:color w:val="000000"/>
          <w:sz w:val="20"/>
        </w:rPr>
      </w:pPr>
      <w:bookmarkStart w:id="12" w:name="item_6_reserved"/>
      <w:bookmarkEnd w:id="12"/>
      <w:r>
        <w:rPr>
          <w:rFonts w:ascii="Times New Roman" w:hAnsi="Times New Roman"/>
          <w:b/>
          <w:i/>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3" w:name="item_7_management_discussion_and_analys"/>
      <w:bookmarkStart w:id="14" w:name="bkmk_19"/>
      <w:bookmarkEnd w:id="13"/>
      <w:bookmarkEnd w:id="14"/>
      <w:r>
        <w:rPr>
          <w:rFonts w:ascii="Times New Roman" w:hAnsi="Times New Roman"/>
          <w:b/>
          <w:i/>
          <w:color w:val="000000"/>
          <w:sz w:val="20"/>
        </w:rPr>
        <w:t>Item 7. Management's Discussion and Analysis</w:t>
      </w:r>
      <w:r>
        <w:rPr>
          <w:rFonts w:ascii="Times New Roman" w:hAnsi="Times New Roman"/>
          <w:color w:val="000000"/>
          <w:sz w:val="20"/>
        </w:rPr>
        <w:t xml:space="preserve"> </w:t>
      </w:r>
      <w:r>
        <w:rPr>
          <w:rFonts w:ascii="Times New Roman" w:hAnsi="Times New Roman"/>
          <w:b/>
          <w:i/>
          <w:color w:val="000000"/>
          <w:sz w:val="20"/>
        </w:rPr>
        <w:t>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appearing elsewhere in this Annual Report on Form 10-K. In addition to historical financial information, the following discussion contains forward-looking statements that reflect our plans, estimates and beliefs. Our actual results, levels of activity, performance or achievements could differ materially from those contained in or implied by any forward-looking statements. Factors that could cause or contribute to these differences include those under “Risk Factors” included in Part I, Item 1A and under “Special Note Regarding Forward-Looking Statements” or in other parts of this Annual Report on Form 10-K. All share amounts presented in this Item 7 give effect to the 1-for-15 reverse stock split and the 1-for-10 second reverse stock split of our outstanding shares of common stock that occurred on January 31, 2024 and July 17, 2024, respectively.</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product revenue and have incurred significant net losses in each year since our inception. For the year ended December 31, 2025, we had a net loss of $4.1 million, and as of December 31, 2025, we have incurred approximately $924.6 million of accumulated deficit since our inception in 2003. We expect to continue to incur significant operating expenditures and net losses for the foreseeable future as we advance our internally developed preclinical small-molecule oral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October 10, 2024, we announced continued progress on this program, which is focused on developing an oral small-molecule therapeutic with a differentiated, non-hormonal profile relative to currently marketed and in-development GLP-1-based and other hormonal treatments. Our primary focus is advancing this preclinical program through additional animal studies, formulation optimization, manufacturing scale-up, and IND-enabling work, subject to favorable data and the availability of additional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Historically, we operated as a clinical-stage oncology-focused cell therapy company developing adoptive TCR-T cell therapy. On August 14, 2023, we announced a strategic reprioritization that included the wind-down of our TCR-T Library Phase 1/2 Trial. In connection with the reprioritization, we reduced our workforce during the third and fourth quarters of 2023 (approximately 95% overall) and continued to implement cost-saving measures to extend our cash runway. We terminated our engagement with Cantor Fitzgerald &amp; Co. as strategic advisor effective January 8, 2026. Efforts to consummate a sale or out-license transaction of this intellectual property portfolio have been unsuccessful to date. We are no longer actively pursuing broad strategic alternatives such as acquisitions, mergers, reverse mergers, or sales of the Company. </w:t>
      </w:r>
    </w:p>
    <w:p>
      <w:pPr>
        <w:pStyle w:val="TextBody"/>
        <w:bidi w:val="0"/>
        <w:spacing w:before="240" w:after="283"/>
        <w:jc w:val="both"/>
        <w:rPr>
          <w:rFonts w:ascii="Times New Roman" w:hAnsi="Times New Roman"/>
          <w:sz w:val="20"/>
        </w:rPr>
      </w:pPr>
      <w:r>
        <w:rPr>
          <w:rFonts w:ascii="Times New Roman" w:hAnsi="Times New Roman"/>
          <w:b/>
          <w:color w:val="000000"/>
          <w:sz w:val="20"/>
        </w:rPr>
        <w:t>2025 Developments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Small Molecule Oral Obesity and Metabolic Disorders Program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advancing an internally developed, preclinical small molecule program for the treatment of obesity and related metabolic disorders. This program is focused on the discovery and development of novel, orally administered therapeutics with the potential to provide a differentiated and complementary profile relative to currently available therapies. While other pipeline therapies for obesity are exploring alternative hormonal pathways, including amylin and dual GIP/GLP-1 receptor agonism, the Company’s approach is focused on a non-hormonal mechanism of action. The program is intended to identify an oral therapeutic candidate that may address certain limitations associated with existing hormonal therapies, including improved tolerability.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second half of 2025, the Company conducted two separate non-GLP (Good Laboratory Practice) pharmacology studies using a standard diet-induced obesity (DIO) mouse model in male C57BL/6 mice maintained on a high-fat diet (60% of calories from fat). On January 8, 2026, the Company announced it had identified a lead compound for continued preclinical evaluation and had established proof-of-concept in the diet induced obesity (DIO) mouse model from these two studies, noting observations from the studies conducted were encouraging and consistent with statistically significant dose-related reductions in body weight, statistically significant improvements in body composition, specifically percentage fat and relative preservation of percentage lean, alongside favorable changes in metabolic parameters.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2, 2026, we announced additional details regarding this positive preclinical proof-of-concept data for ALN1003 from the two separate DIO studies conducted. Highlights from these studies include dose-dependent body weight loss with favorable body composition changes, reductions in liver weight, improvement in liver function biomarkers, and improvement in metabolic biomarkers. Collectively, these findings suggest encouraging metabolic effects of ALN1003 in the DIO model.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Key findings from two separate DIO studies (non-GLP) are summarized below (nominal reported p-values are unadjusted for multiple comparisons):</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1</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purpose of the first study was to evaluate the pharmacokinetics (PK) and tolerability of ALN1003 and to assess early proof-of-concept anti-obesity efficacy including changes in weight, metabolic biomarkers, and adipose remodeling. Mice received low, controlled oral doses of ALN1003, split into two doses each day. Measurements included daily body weight, food and water consumption at the cage level, and metabolic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markers (blood collection after a 4-6 hour fast at end of study). All animals were observed prior to and after each dose administration. There were 12 mice in each group, with mice housed 3 per cage.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Relative to DIO controls, mean percent change in body weight for ALN1003-treated mice peaked at -12.9% (p&lt;0.0001) on Day 34 and was </w:t>
        <w:br/>
        <w:t>-10.3% (p&lt;0.0001) after 48 days of treatment. Peak reductions in absolute weight loss were observed by Day 13 and remained lower than DIO controls through Day 48 (p&lt;0.0001 at selected timepoints).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consumption versus DIO control (347.5 g/cage vs 425.0 g/cage; nominal p&lt;0.05). ALN1003 reduced water consumption (445.8 mL/cage vs 494.5 mL/cage; not statistically significant).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Liver and Fat Tissue:</w:t>
      </w:r>
      <w:r>
        <w:rPr>
          <w:rFonts w:ascii="Times New Roman" w:hAnsi="Times New Roman"/>
          <w:color w:val="000000"/>
          <w:sz w:val="20"/>
        </w:rPr>
        <w:t>In this study, ALN1003 reduced liver weight compared to untreated mice by 43% (p&lt;0.0001) and by 39% when expressed as a percentage of body weight (p&lt;0.0001). Long-term administration of ALN1003 was associated with lower ALT (alanine aminotransferase; p&lt;0.0001), AST (aspartate aminotransferase; nominal p&lt;0.0001) and ALP (alkaline phosphatase; p&lt;0.0001), with a trend toward lower total bilirubin (nominal p=0.058) compared to untreated mice.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ALN1003 treatment group. Relative to DIO controls, ALN1003-treated animals exhibited smaller, deep reddish-brown livers; reduced epididymal white adipose tissue (eWAT) and inguinal white adipose tissue (iWAT) depots consistent with decreased adiposity; and darker interscapular BAT with appearance consistent with reduced “whitening” of BAT.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Tolerability:</w:t>
      </w:r>
      <w:r>
        <w:rPr>
          <w:rFonts w:ascii="Times New Roman" w:hAnsi="Times New Roman"/>
          <w:color w:val="000000"/>
          <w:sz w:val="20"/>
        </w:rPr>
        <w:t xml:space="preserve"> ALN1003 was generally well tolerated throughout the study. Mild, short-term, reversible hypolocomotion was observed after dosing in approximately one-half of dose administrations. There were no similar observations in DIO control animals.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DIO Study 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second study conducted was a pilot study to evaluate palatability, tolerability, anti-obesity effects, body composition and PK of ALN1003 administered orally in drinking water at three dose levels in DIO mice. The study comprised a treatment period of 14 days and a PK period of 4 days. ALN1003 was administered at three dose levels: low, medium and high. The middle and highest planned doses were 3 and 9 times higher than the low dose, respectively. Measurements included daily body weight, food and water consumption at the cage level, and metabolic parameters (blood collection after a 4-6 hour fast at end of study). All animals were observed each day. There were 6 mice in each group (2 mice per cage).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Food and water consumption:</w:t>
      </w:r>
      <w:r>
        <w:rPr>
          <w:rFonts w:ascii="Times New Roman" w:hAnsi="Times New Roman"/>
          <w:color w:val="000000"/>
          <w:sz w:val="20"/>
        </w:rPr>
        <w:t xml:space="preserve"> ALN1003 reduced cumulative food intake in a dose-dependent manner over the 14-day treatment period. Cumulative food consumption in grams per cage was 84.5g, 80.8g, 76.7g and 56.7g (nominal p&lt;0.05) for the DIO control, low, medium and high doses, respectively. Cumulative food consumption when normalized to body weight per cage was 87.9g, 85.6g, 86.7g and 73.6g for the DIO control, low, medium and high doses, respectively. ALN1003 reduced water intake significantly over the 14-day treatment period. Cumulative water consumption in milliliters per cage was 112.8 mL, 80.1 mL (nominal p&lt;0.05), 71.1 mL (p&lt;0.0001) and 63.5 mL (p&lt;0.0001) for the DIO control, low, medium and high doses, respectively. Cumulative water consumption when normalized to body weight per cage was 116.9 mL, 84.9 mL, 80.5 mL and 80.3 mL for the DIO control, low, medium and high doses, respectively. Actual dose consumed is dependent on how much water mice drink. Actual doses consumed during the 14-day treatment period were consistent with planned doses, with variances to planned doses of +7.3%, -0.3% and -6.9% in the low, medium and high dose groups, respectively.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Body composition</w:t>
      </w:r>
      <w:r>
        <w:rPr>
          <w:rFonts w:ascii="Times New Roman" w:hAnsi="Times New Roman"/>
          <w:color w:val="000000"/>
          <w:sz w:val="20"/>
        </w:rPr>
        <w:t xml:space="preserve"> was assessed using a Bruker Minispec</w:t>
      </w:r>
      <w:r>
        <w:rPr>
          <w:rFonts w:ascii="Times New Roman" w:hAnsi="Times New Roman"/>
          <w:color w:val="000000"/>
          <w:sz w:val="13"/>
        </w:rPr>
        <w:t>TM</w:t>
      </w:r>
      <w:r>
        <w:rPr>
          <w:rFonts w:ascii="Times New Roman" w:hAnsi="Times New Roman"/>
          <w:color w:val="000000"/>
          <w:sz w:val="20"/>
        </w:rPr>
        <w:t>LF90II Body Composition Analyzer (Bruker BioSpin, Billerica, MA, USA) and demonstrated dose-related changes that were driven primarily by fat loss but also included the loss of lean and fluid mass. The table below summarizes the mean percentage change from baseline through Day 17 in fat, lean and fluid as a % of body weight (BW) and mass in grams:</w:t>
      </w:r>
    </w:p>
    <w:p>
      <w:pPr>
        <w:pStyle w:val="TextBody"/>
        <w:bidi w:val="0"/>
        <w:jc w:val="both"/>
        <w:rPr/>
      </w:pPr>
      <w:r>
        <w:rPr/>
        <w:t> </w:t>
      </w:r>
    </w:p>
    <w:tbl>
      <w:tblPr>
        <w:tblW w:w="6935" w:type="dxa"/>
        <w:jc w:val="left"/>
        <w:tblInd w:w="0" w:type="dxa"/>
        <w:tblLayout w:type="fixed"/>
        <w:tblCellMar>
          <w:top w:w="28" w:type="dxa"/>
          <w:left w:w="28" w:type="dxa"/>
          <w:bottom w:w="28" w:type="dxa"/>
          <w:right w:w="28" w:type="dxa"/>
        </w:tblCellMar>
      </w:tblPr>
      <w:tblGrid>
        <w:gridCol w:w="1681"/>
        <w:gridCol w:w="1261"/>
        <w:gridCol w:w="1261"/>
        <w:gridCol w:w="1351"/>
        <w:gridCol w:w="1381"/>
      </w:tblGrid>
      <w:tr>
        <w:trPr/>
        <w:tc>
          <w:tcPr>
            <w:tcW w:w="16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Mean % Change:</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Control</w:t>
            </w:r>
          </w:p>
        </w:tc>
        <w:tc>
          <w:tcPr>
            <w:tcW w:w="126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Low</w:t>
            </w:r>
          </w:p>
        </w:tc>
        <w:tc>
          <w:tcPr>
            <w:tcW w:w="13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Medium</w:t>
            </w:r>
          </w:p>
        </w:tc>
        <w:tc>
          <w:tcPr>
            <w:tcW w:w="13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High</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Fat%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-1.5%</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-5.4%</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-21.9%</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Lean%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-1.3%</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+2.4%</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+4.6%</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+17.2%</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Fluid% of BW</w:t>
            </w:r>
          </w:p>
        </w:tc>
        <w:tc>
          <w:tcPr>
            <w:tcW w:w="1261"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+0.4%</w:t>
            </w:r>
          </w:p>
        </w:tc>
        <w:tc>
          <w:tcPr>
            <w:tcW w:w="126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-9.3%</w:t>
            </w:r>
          </w:p>
        </w:tc>
        <w:tc>
          <w:tcPr>
            <w:tcW w:w="1351" w:type="dxa"/>
            <w:tcBorders>
              <w:left w:val="single" w:sz="8" w:space="0" w:color="000000"/>
              <w:bottom w:val="single" w:sz="8" w:space="0" w:color="000000"/>
            </w:tcBorders>
            <w:tcMar>
              <w:top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-12.0%</w:t>
            </w:r>
          </w:p>
        </w:tc>
        <w:tc>
          <w:tcPr>
            <w:tcW w:w="13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-25.7%</w:t>
            </w:r>
            <w:r>
              <w:rPr>
                <w:rFonts w:ascii="Times New Roman" w:hAnsi="Times New Roman"/>
                <w:color w:val="000000"/>
                <w:sz w:val="13"/>
              </w:rPr>
              <w:t>b</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Fat in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+4.7% (+0.9g)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-1.8%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-12.3% (-2.5g)</w:t>
            </w:r>
            <w:r>
              <w:rPr>
                <w:rFonts w:ascii="Times New Roman" w:hAnsi="Times New Roman"/>
                <w:color w:val="000000"/>
                <w:sz w:val="13"/>
              </w:rPr>
              <w:t>b</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-44.6% (-8.9g)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Lean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+1.9% (+0.5g)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 (+0.6g)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-4.1% (-1.1g)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-18.8% (-5.0g)</w:t>
            </w:r>
            <w:r>
              <w:rPr>
                <w:rFonts w:ascii="Times New Roman" w:hAnsi="Times New Roman"/>
                <w:color w:val="000000"/>
                <w:sz w:val="13"/>
              </w:rPr>
              <w:t>c</w:t>
            </w:r>
          </w:p>
        </w:tc>
      </w:tr>
      <w:tr>
        <w:trPr/>
        <w:tc>
          <w:tcPr>
            <w:tcW w:w="168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D17 Fluid grams</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+2.7% (+0.1g)</w:t>
            </w:r>
          </w:p>
        </w:tc>
        <w:tc>
          <w:tcPr>
            <w:tcW w:w="126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-9.6% (-0.4g)</w:t>
            </w:r>
          </w:p>
        </w:tc>
        <w:tc>
          <w:tcPr>
            <w:tcW w:w="13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-18.8% (-0.7g)</w:t>
            </w:r>
            <w:r>
              <w:rPr>
                <w:rFonts w:ascii="Times New Roman" w:hAnsi="Times New Roman"/>
                <w:color w:val="000000"/>
                <w:sz w:val="13"/>
              </w:rPr>
              <w:t>a</w:t>
            </w:r>
          </w:p>
        </w:tc>
        <w:tc>
          <w:tcPr>
            <w:tcW w:w="13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-47.3% (-1.8g)</w:t>
            </w:r>
            <w:r>
              <w:rPr>
                <w:rFonts w:ascii="Times New Roman" w:hAnsi="Times New Roman"/>
                <w:color w:val="000000"/>
                <w:sz w:val="13"/>
              </w:rPr>
              <w:t>c</w:t>
            </w:r>
          </w:p>
        </w:tc>
      </w:tr>
    </w:tbl>
    <w:p>
      <w:pPr>
        <w:pStyle w:val="TextBody"/>
        <w:bidi w:val="0"/>
        <w:jc w:val="both"/>
        <w:rPr>
          <w:rFonts w:ascii="Times New Roman" w:hAnsi="Times New Roman"/>
          <w:color w:val="000000"/>
          <w:sz w:val="20"/>
        </w:rPr>
      </w:pPr>
      <w:r>
        <w:rPr>
          <w:rFonts w:ascii="Times New Roman" w:hAnsi="Times New Roman"/>
          <w:color w:val="000000"/>
          <w:sz w:val="20"/>
        </w:rPr>
        <w:t>Significance of comparison to Control group: a: nominal p&lt;0.05; b: nominal p&lt;0.001; c: p&lt;0.0001</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Liver and Fat Tissue: </w:t>
      </w:r>
      <w:r>
        <w:rPr>
          <w:rFonts w:ascii="Times New Roman" w:hAnsi="Times New Roman"/>
          <w:color w:val="000000"/>
          <w:sz w:val="20"/>
        </w:rPr>
        <w:t xml:space="preserve">At end of study Day 18, including the 14-day treatment period plus the PK period, dose-related reductions in liver weights compared to DIO control were -6.8%, -20.5% and -55.0% (nominal p&lt;0.01) in the low, medium and high dose groups, respectively. Reductions in liver weights expressed as a percentage of body weight relative to DIO control were -2.6%, -12.0% and -32.6% (nominal p&lt;0.05). Liver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enzymes showed no statistically significant change after 18 days; gross liver appearance suggested reduced fat accumulation. Histological analyses of liver and adipose tissues are planned.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An unblinded macroscopic visual review of organ morphology was conducted comparing the liver and adipose tissues of the DIO control to the high dose group. This analysis showed reductions in white fat depots (such as epididymal white adipose tissue, or eWAT, and inguinal white adipose tissue, or iWAT) and an interscapular BAT appearance consistent with reduced “whitening” in the ALN1003 tissues vs DIO control. Review of liver images suggested less visible fat accumulation and smaller, deep red-brown livers compared to DIO control.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Metabolic parameters: </w:t>
      </w:r>
      <w:r>
        <w:rPr>
          <w:rFonts w:ascii="Times New Roman" w:hAnsi="Times New Roman"/>
          <w:color w:val="000000"/>
          <w:sz w:val="20"/>
        </w:rPr>
        <w:t>In this study, the highest-dose group showed lower blood sugar (glucose; 197 mg/dL in high dose vs 320 mg/dL in DIO control; p&lt;0.0001) and lower total cholesterol (162 mg/dL in high dose vs 209 mg/dL in DIO control; nominal p&lt;0.05). HDL-C (high-density lipoprotein cholesterol), the dominant lipoprotein in DIO mice, also decreased to 130 mg/dL in high dose vs 165 mg/dL in DIO control; nominal p&lt;0.05.</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 xml:space="preserve">Tolerability: </w:t>
      </w:r>
      <w:r>
        <w:rPr>
          <w:rFonts w:ascii="Times New Roman" w:hAnsi="Times New Roman"/>
          <w:color w:val="000000"/>
          <w:sz w:val="20"/>
        </w:rPr>
        <w:t>ALN1003 was generally well tolerated throughout the study; however, on Day 16 (during the PK portion of the study), two mice in the high-dose group were noted to be slightly dehydrated for the remainder of the study, although they otherwise appeared normal.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Important Context and Model Limitations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Behavior-coupled dosing in unrestricted (ad libitum) drinking-water studies: In this paradigm, ALN1003 caused dose-related loss of appetite and thirst (anorexia/hypodipsia), leading to avoidance of medicated water. Despite actual doses consumed approximating planned doses in this study, reductions in drinking may confound attribution of weight loss solely to drug exposure in this model.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Development Roadmap</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findings from these two studies support the Company’s strategy to focus on additional preclinical studies and CMC activities to optimize formulations while maintaining effective overall drug levels. We are also planning to conduct studies to better understand mechanisms of ALN1003, including measuring liver fat levels and scoring MASLD severity of the liver in a blinded manner. We are planning to further refine manufacturing processes and to run a small-scale production run based on these improvements. Thereafter, a larger scale production run is planned. In parallel, the Company has initiated a computational chemistry program to design, make, and test ALN1003 variations to strengthen the Company’s intellectual property and assess next-generation compounds. These initiatives, including large animal pharmacokinetic studies, will inform plans to conduct IND enabling studies.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advancement of this program is subject to numerous risks and uncertainties inherent in early-stage drug development. Subject to favorable data from these preclinical studies and our ability to secure additional capital, we plan to advance a selected development candidate into formal investigational new drug (IND)-enabling studies. We intend to actively explore strategic financing and collaboration opportunities to fund the continued development of this program.</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Nasdaq Shareholders Equity Deficiency Notice</w:t>
      </w:r>
    </w:p>
    <w:p>
      <w:pPr>
        <w:pStyle w:val="TextBody"/>
        <w:bidi w:val="0"/>
        <w:jc w:val="both"/>
        <w:rPr>
          <w:rFonts w:ascii="Times New Roman" w:hAnsi="Times New Roman"/>
          <w:color w:val="000000"/>
          <w:sz w:val="20"/>
        </w:rPr>
      </w:pPr>
      <w:r>
        <w:rPr>
          <w:rFonts w:ascii="Times New Roman" w:hAnsi="Times New Roman"/>
          <w:color w:val="000000"/>
          <w:sz w:val="20"/>
        </w:rPr>
        <w:t>On August 19, 2025, Nasdaq notified the Company that it had regained compliance with the continued listing requirements of the Nasdaq Capital Market. Based on the Company’s Quarterly Report on Form 10-Q for the period ended June 30, 2025, evidencing stockholders’ equity of $3.66 million, the Listing Qualifications staff determined that the Company now complies with the Nasdaq Listing Rules and confirmed that the matter is closed. As of September 30, 2025, we had $2.82 million in stockholder’ equity resulting in compliance with the Nasdaq rule. As of December 31, 2025, our stockholders’ equity was $2.2 million, which remains below the $2.5 million threshold. We are likely to receive a notice from Nasdaq and may have 45 calendar days from the date of the notice to submit a compliance plan, and if accepted, we may be granted up to 180 calendar days from the date of the notice to evidence compliance. There can be no assurance that our compliance plan will be accepted or that we will regain compliance within any granted period. Given our current trading price of approximately $3.15 per share, the immediate risk of a Minimum Bid Price deficiency is lower at this time; however, our stock price remains volatile and a future decline could still trigger a separate delisting notice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Due to the Company’s limited cash runway and ongoing operating losses, there can be no assurance that the Company will maintain compliance with Nasdaq’s continued listing requirements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Results of Operations for the Fiscal Years ended December 31, 2025 and 2024</w:t>
      </w:r>
    </w:p>
    <w:p>
      <w:pPr>
        <w:pStyle w:val="TextBody"/>
        <w:bidi w:val="0"/>
        <w:jc w:val="both"/>
        <w:rPr/>
      </w:pPr>
      <w:r>
        <w:rPr/>
        <w:t> </w:t>
      </w:r>
    </w:p>
    <w:tbl>
      <w:tblPr>
        <w:tblW w:w="7692" w:type="dxa"/>
        <w:jc w:val="left"/>
        <w:tblInd w:w="0" w:type="dxa"/>
        <w:tblLayout w:type="fixed"/>
        <w:tblCellMar>
          <w:top w:w="28" w:type="dxa"/>
          <w:left w:w="28" w:type="dxa"/>
          <w:bottom w:w="28" w:type="dxa"/>
          <w:right w:w="28" w:type="dxa"/>
        </w:tblCellMar>
      </w:tblPr>
      <w:tblGrid>
        <w:gridCol w:w="3931"/>
        <w:gridCol w:w="314"/>
        <w:gridCol w:w="939"/>
        <w:gridCol w:w="247"/>
        <w:gridCol w:w="217"/>
        <w:gridCol w:w="314"/>
        <w:gridCol w:w="939"/>
        <w:gridCol w:w="791"/>
      </w:tblGrid>
      <w:tr>
        <w:trPr/>
        <w:tc>
          <w:tcPr>
            <w:tcW w:w="393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years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3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24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7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 in fair value of warrant liability</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income (expense), net</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not generated any product revenue to date. Collaboration and research and development funding revenue is recognized over the estimated period of performance; such revenue has been de minimis in recent periods, $5,000 and $10,000 as of December 31, 2025 and 2024, respectively. Unless and until we receive regulatory approval for any product candidate, we cannot sell our products and will not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during the years ended December 31, 2025 and 2024 were as follows:</w:t>
      </w:r>
    </w:p>
    <w:p>
      <w:pPr>
        <w:pStyle w:val="TextBody"/>
        <w:bidi w:val="0"/>
        <w:jc w:val="both"/>
        <w:rPr/>
      </w:pPr>
      <w:r>
        <w:rPr/>
        <w:t> </w:t>
      </w:r>
    </w:p>
    <w:tbl>
      <w:tblPr>
        <w:tblW w:w="5837" w:type="dxa"/>
        <w:jc w:val="left"/>
        <w:tblInd w:w="0" w:type="dxa"/>
        <w:tblLayout w:type="fixed"/>
        <w:tblCellMar>
          <w:top w:w="28" w:type="dxa"/>
          <w:left w:w="28" w:type="dxa"/>
          <w:bottom w:w="28" w:type="dxa"/>
          <w:right w:w="28" w:type="dxa"/>
        </w:tblCellMar>
      </w:tblPr>
      <w:tblGrid>
        <w:gridCol w:w="1276"/>
        <w:gridCol w:w="438"/>
        <w:gridCol w:w="438"/>
        <w:gridCol w:w="303"/>
        <w:gridCol w:w="303"/>
        <w:gridCol w:w="438"/>
        <w:gridCol w:w="657"/>
        <w:gridCol w:w="146"/>
        <w:gridCol w:w="146"/>
        <w:gridCol w:w="211"/>
        <w:gridCol w:w="271"/>
        <w:gridCol w:w="166"/>
        <w:gridCol w:w="146"/>
        <w:gridCol w:w="146"/>
        <w:gridCol w:w="376"/>
        <w:gridCol w:w="376"/>
      </w:tblGrid>
      <w:tr>
        <w:trPr/>
        <w:tc>
          <w:tcPr>
            <w:tcW w:w="127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87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have historically consisted primarily of salaries and related personnel costs, contract manufacturing and research organization fees, costs of facilities, reagents and equipment, consulting and license fees, and impairment charges. Following our August 2023 reprioritization, these expenses have shifted materially away from clinical trial and TCR-T-related activities toward preclinical studies, formulation development, and manufacturing scale-up for our small-molecule obesity and metabolic disorders program. We expect research and development spending to remain variable and dependent on the pace of additional animal studies, CMC activities and IND-enabling work for our obesity assets, subject to available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during the years ended December 31, 2025 and 2024 were as follows:</w:t>
      </w:r>
    </w:p>
    <w:p>
      <w:pPr>
        <w:pStyle w:val="TextBody"/>
        <w:bidi w:val="0"/>
        <w:jc w:val="both"/>
        <w:rPr/>
      </w:pPr>
      <w:r>
        <w:rPr/>
        <w:t> </w:t>
      </w:r>
    </w:p>
    <w:tbl>
      <w:tblPr>
        <w:tblW w:w="7917" w:type="dxa"/>
        <w:jc w:val="left"/>
        <w:tblInd w:w="0" w:type="dxa"/>
        <w:tblLayout w:type="fixed"/>
        <w:tblCellMar>
          <w:top w:w="28" w:type="dxa"/>
          <w:left w:w="28" w:type="dxa"/>
          <w:bottom w:w="28" w:type="dxa"/>
          <w:right w:w="28" w:type="dxa"/>
        </w:tblCellMar>
      </w:tblPr>
      <w:tblGrid>
        <w:gridCol w:w="3091"/>
        <w:gridCol w:w="319"/>
        <w:gridCol w:w="863"/>
        <w:gridCol w:w="220"/>
        <w:gridCol w:w="220"/>
        <w:gridCol w:w="319"/>
        <w:gridCol w:w="636"/>
        <w:gridCol w:w="146"/>
        <w:gridCol w:w="146"/>
        <w:gridCol w:w="211"/>
        <w:gridCol w:w="571"/>
        <w:gridCol w:w="146"/>
        <w:gridCol w:w="146"/>
        <w:gridCol w:w="146"/>
        <w:gridCol w:w="421"/>
        <w:gridCol w:w="316"/>
      </w:tblGrid>
      <w:tr>
        <w:trPr/>
        <w:tc>
          <w:tcPr>
            <w:tcW w:w="309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for the year ended December 31, 2025 increased by $1.0 million when compared to the year ended December 31, 2024 due to the expansion of the obesity and metabolic disorders program.</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benefits and stock-based compensation, consulting and professional fees (including patent-related costs), general corporate costs, and facility costs not otherwise included in research and development. These expenses have decreased following our workforce reductions and cost-saving initiatives, though they continue to include ongoing costs related to public company compliance, legacy contract wind-down, and support for our obesity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during the years ended December 31, 2025 and 2024 were as follows:</w:t>
      </w:r>
    </w:p>
    <w:p>
      <w:pPr>
        <w:pStyle w:val="TextBody"/>
        <w:bidi w:val="0"/>
        <w:jc w:val="both"/>
        <w:rPr/>
      </w:pPr>
      <w:r>
        <w:rPr/>
        <w:t> </w:t>
      </w:r>
    </w:p>
    <w:tbl>
      <w:tblPr>
        <w:tblW w:w="8015" w:type="dxa"/>
        <w:jc w:val="left"/>
        <w:tblInd w:w="0" w:type="dxa"/>
        <w:tblLayout w:type="fixed"/>
        <w:tblCellMar>
          <w:top w:w="28" w:type="dxa"/>
          <w:left w:w="28" w:type="dxa"/>
          <w:bottom w:w="28" w:type="dxa"/>
          <w:right w:w="28" w:type="dxa"/>
        </w:tblCellMar>
      </w:tblPr>
      <w:tblGrid>
        <w:gridCol w:w="3091"/>
        <w:gridCol w:w="293"/>
        <w:gridCol w:w="794"/>
        <w:gridCol w:w="203"/>
        <w:gridCol w:w="203"/>
        <w:gridCol w:w="293"/>
        <w:gridCol w:w="794"/>
        <w:gridCol w:w="146"/>
        <w:gridCol w:w="146"/>
        <w:gridCol w:w="211"/>
        <w:gridCol w:w="631"/>
        <w:gridCol w:w="166"/>
        <w:gridCol w:w="146"/>
        <w:gridCol w:w="146"/>
        <w:gridCol w:w="376"/>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General and administrative expenses for the year ended December 31, 2025 decreased by $1.6 million as compared to the year ended December 31, 2024.</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Other Income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Other income (expense), net consists primarily of interest income on cash reserves and changes in the fair value of the warrant liability. In recent periods, other income, net was lower primarily due to decreased interest income resulting from lower cash reserve balances period over period, partially offset by a gain recognized from the change in fair value of the warrant liability.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during the years ended December 31, 2025 and 2024 was as follows:</w:t>
      </w:r>
    </w:p>
    <w:p>
      <w:pPr>
        <w:pStyle w:val="TextBody"/>
        <w:bidi w:val="0"/>
        <w:jc w:val="both"/>
        <w:rPr/>
      </w:pPr>
      <w:r>
        <w:rPr/>
        <w:t> </w:t>
      </w:r>
    </w:p>
    <w:tbl>
      <w:tblPr>
        <w:tblW w:w="6164" w:type="dxa"/>
        <w:jc w:val="left"/>
        <w:tblInd w:w="0" w:type="dxa"/>
        <w:tblLayout w:type="fixed"/>
        <w:tblCellMar>
          <w:top w:w="28" w:type="dxa"/>
          <w:left w:w="28" w:type="dxa"/>
          <w:bottom w:w="28" w:type="dxa"/>
          <w:right w:w="28" w:type="dxa"/>
        </w:tblCellMar>
      </w:tblPr>
      <w:tblGrid>
        <w:gridCol w:w="1561"/>
        <w:gridCol w:w="285"/>
        <w:gridCol w:w="617"/>
        <w:gridCol w:w="285"/>
        <w:gridCol w:w="285"/>
        <w:gridCol w:w="285"/>
        <w:gridCol w:w="822"/>
        <w:gridCol w:w="146"/>
        <w:gridCol w:w="146"/>
        <w:gridCol w:w="146"/>
        <w:gridCol w:w="376"/>
        <w:gridCol w:w="166"/>
        <w:gridCol w:w="146"/>
        <w:gridCol w:w="146"/>
        <w:gridCol w:w="376"/>
        <w:gridCol w:w="376"/>
      </w:tblGrid>
      <w:tr>
        <w:trPr/>
        <w:tc>
          <w:tcPr>
            <w:tcW w:w="15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other income (expense), net for the year ended December 31, 2025 decreased $53 as compared to the year ended December 31, 2024.</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generated any revenue from product sales. Since inception, we have incurred net losses and negative cash flows from our operations. We have operated at a loss since inception in 2003 and have no significant recurring revenue from operations. We anticipate that losses will continue for the foreseeable future. As of December 31, 2025, our accumulated deficit was approximately $924.6 million. Our working capital as of December 31, 2025 was $1.2 million, consisting of $2 million in current assets and $0.8 million in current liabilities. Our actual cash requirements may vary materially from those planned because of a number of factors, including changes in the focus, direction and pace of our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 date, we have financed our operations primarily through public offerings and private placements of equity securities (including common stock, pre-funded warrants, and Series A-1 and Series A-2 Convertible Preferred Stock), as well as limited historical collaborations.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approximately $1.4 million of cash and cash equivalents. Our current monthly cash burn rate is approximately $0.28 million. At this rate we anticipate that our existing cash resources will be sufficient to fund operations into the second quarter of 2026. This estimate excludes any potential costs related to strategic transactions, unexpected legacy wind-down activities, unforeseen liabilities, or acceleration of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committed sources of additional capital. To continue operations beyond our current forecasted runway and to advance our preclinical Obesity and Metabolic Disorders Program through additional animal studies, formulation optimization, manufacturing scale-up, and IND-enabling work, we will need to raise substantial additional capital through equity or debt financings, collaborations, or other strategic transactions. There can be no assurance that additional funding will be available on favorable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actual cash requirements may vary materially from those currently planned due to a number of factors, including the pace and results of our preclinical studies for the obesity program, any changes in the focus or direction of our development efforts, costs associated with legacy obligations (including the remaining payments under the December 2025 MD Anderson Settlement and Release Agreement), and the outcome of any potential strategic opportunities. We have based our runway estimates on assumptions that may prove to be wrong, and our expenses could prove to be significantly higher than we currently anticipate.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current cash forecast, management has determined that our present capital resources will not be sufficient to fund our planned operations for at least one year after the date these financial statements are issued. This raises substantial doubt about our ability to continue as a going concern. If we are unable to raise additional capital when required, we may be forced to further delay, reduce, or eliminate our development activities, which could ultimately lead to dissolution or liquidation. See “Risk Factors — We may require substantial additional financial resources to continue as a going concern and to advance our obesity and metabolic program” for additional discussion.</w:t>
      </w:r>
    </w:p>
    <w:p>
      <w:pPr>
        <w:pStyle w:val="TextBody"/>
        <w:bidi w:val="0"/>
        <w:jc w:val="left"/>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Series A-1 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April 2025, we entered into a Subscription Agreement, with an accredited investor, pursuant to which we sold 500 shares of Series A-1 Convertible Preferred Stock, par value of $0.001 per share (the “Series A-1 Preferred Stock”), at a price per share of $1,000 (the “Preferred Offering”) for an aggregate purchase price of $0.5 million. The Preferred Offering also relates to the offering of the shares of our common stock (the "Common Stock") issuable upon the conversion of or otherwise pursuant to the terms of the Series A-1 Preferred Stock).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therewith, we filed with the Secretary of State of the State of Delaware the Certificate of Designation of Series A-1 Convertible Preferred Stock, designating 1,000 shares of preferred stock as our Series A-1 Preferred Stock. </w:t>
      </w:r>
    </w:p>
    <w:p>
      <w:pPr>
        <w:pStyle w:val="TextBody"/>
        <w:bidi w:val="0"/>
        <w:jc w:val="both"/>
        <w:rPr>
          <w:rFonts w:ascii="Times New Roman" w:hAnsi="Times New Roman"/>
          <w:color w:val="000000"/>
          <w:sz w:val="20"/>
        </w:rPr>
      </w:pPr>
      <w:r>
        <w:rPr>
          <w:rFonts w:ascii="Times New Roman" w:hAnsi="Times New Roman"/>
          <w:color w:val="000000"/>
          <w:sz w:val="20"/>
        </w:rPr>
        <w:t>Series A-1 Preferred Stock together with the aggregate accrued or accumulated and unpaid dividends thereon, is convertible, at any time at option of the holder, into shares of Common Stock at initial fixed “Conversion Price” of $2.76 per share, subject to customary anti-dilution provisions. Prior thereto, the holders of Series A-1 Preferred Stock are entitled to receive dividends at a rate of 10% per annum, payable in shares of Series A-1 Preferred Stock, if and when declared by the Board of Directors. In addition, to the extent any other dividends or distributions are declared for holders of the common stock, the holders of Series A-1 Preferred Stock have participation rights on an as-converted basis. The holders of Series A-1 Preferred Stock are entitled to vote, together as a single class, on any and all matters presented to our stockholders for their action on an as-converted basis, a number of votes equal to the number of shares of common stock into which the shares of Series A-1 Preferred Stock are convertible under the terms of the Certificate of Designation.</w:t>
      </w:r>
    </w:p>
    <w:p>
      <w:pPr>
        <w:pStyle w:val="TextBody"/>
        <w:bidi w:val="0"/>
        <w:jc w:val="both"/>
        <w:rPr>
          <w:rFonts w:ascii="Times New Roman" w:hAnsi="Times New Roman"/>
          <w:sz w:val="20"/>
        </w:rPr>
      </w:pPr>
      <w:r>
        <w:rPr>
          <w:rFonts w:ascii="Times New Roman" w:hAnsi="Times New Roman"/>
          <w:i/>
          <w:color w:val="000000"/>
          <w:sz w:val="20"/>
        </w:rPr>
        <w:t>Securities Purchase Agreement for Registered Direct Offering</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we entered into a Securities Purchase Agreement with certain institutional investors, pursuant to which we agreed to sell (i) 338,725 shares of common stock at a purchase price of $3.36 per share and (ii) 271,674 pre-funded warrants to purchase common stock at a purchase price of $3.359 per warrant share, in a registered direct offering. In connection therewith, we received net proceeds totaling $1,911,000 after deduction of transaction related expenses. Subsequent thereto and through June 30, 2025, a total of 96,500 the prefunded warrants were exercised at $0.001 per share, resulting in the issuance of 96,500 shares of common stock. Subsequent to June 30, 2025, an aggregate of 112,875 prefunded warrants were exercised resulting in the issuance of an additional 112,875 shares of common stock.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rPr>
        <w:t>Series A-2 Preferred Stock</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we entered into a subscription agreement with certain accredited investors, pursuant to which we sold, in a private placement, 850 shares of Series A-2 Convertible Preferred Stock, par value $0.001 per share, at a price of $1,000 per share, for aggregate gross proceeds of $0.85 million.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therewith, we filed with the Secretary of State of the State of Delaware the Certificate of Designation of Series A-2 Convertible Preferred Stock, designating 1,000 shares of preferred stock as our Series A-2 Preferred Stock. </w:t>
      </w:r>
    </w:p>
    <w:p>
      <w:pPr>
        <w:pStyle w:val="TextBody"/>
        <w:bidi w:val="0"/>
        <w:jc w:val="both"/>
        <w:rPr>
          <w:rFonts w:ascii="Times New Roman" w:hAnsi="Times New Roman"/>
          <w:color w:val="000000"/>
          <w:sz w:val="20"/>
        </w:rPr>
      </w:pPr>
      <w:r>
        <w:rPr>
          <w:rFonts w:ascii="Times New Roman" w:hAnsi="Times New Roman"/>
          <w:color w:val="000000"/>
          <w:sz w:val="20"/>
        </w:rPr>
        <w:t>Series A-2 Preferred Stock, together with the aggregate accrued or accumulated and unpaid dividends thereon, is convertible, at any time at the option of the holder, into shares of Common Stock at an initial fixed “Conversion Price” of $4.49 per share, subject to customary anti-dilution provisions. Prior thereto, the holders of Series A-2 Preferred Stock are entitled to receive dividends at a rate of 10% per annum, payable in shares of Series A-2 Preferred Stock, if and when declared by the Board of Directors. In addition, to the extent any other dividends or distributions are declared for holders of the Common Stock, the holders of Series A-2 Preferred Stock have participation rights on an as-converted basis. The holders of Series A-2 Preferred Stock are entitled to vote, together as a single class, on any and all matters presented to our stockholders for their action on an as-converted basis, a number of votes equal to the number of shares of Common Stock into which the shares of Series A-2 Preferred Stock are convertible under the terms of the Certificate of Designation.</w:t>
      </w:r>
    </w:p>
    <w:p>
      <w:pPr>
        <w:pStyle w:val="TextBody"/>
        <w:bidi w:val="0"/>
        <w:jc w:val="left"/>
        <w:rPr>
          <w:rFonts w:ascii="Times New Roman" w:hAnsi="Times New Roman"/>
          <w:i/>
          <w:color w:val="000000"/>
          <w:sz w:val="20"/>
        </w:rPr>
      </w:pPr>
      <w:r>
        <w:rPr>
          <w:rFonts w:ascii="Times New Roman" w:hAnsi="Times New Roman"/>
          <w:i/>
          <w:color w:val="000000"/>
          <w:sz w:val="20"/>
        </w:rPr>
        <w:t>Series A-1 and A-2 Preferred Stock Cumulative Dividends</w:t>
      </w:r>
    </w:p>
    <w:p>
      <w:pPr>
        <w:pStyle w:val="TextBody"/>
        <w:bidi w:val="0"/>
        <w:jc w:val="both"/>
        <w:rPr>
          <w:rFonts w:ascii="Times New Roman" w:hAnsi="Times New Roman"/>
          <w:color w:val="000000"/>
          <w:sz w:val="20"/>
        </w:rPr>
      </w:pPr>
      <w:r>
        <w:rPr>
          <w:rFonts w:ascii="Times New Roman" w:hAnsi="Times New Roman"/>
          <w:color w:val="000000"/>
          <w:sz w:val="20"/>
        </w:rPr>
        <w:t>Cumulative dividends on the Company’s Series A-1 and Series A-2 Convertible Preferred Stock accrue at 10% per annum and compound quarterly by increasing the liquidation preference. Undeclared cumulative dividends are not recorded as a liability. Because the Company reported a net loss for the periods presented, cumulative preferred dividends increased the net loss attributable to common stockholders in the earnings-per-share calculation. As of December 31, 2025, undeclared cumulative dividends totaled $60 for Series A-1 and $45 for Series A-2.</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net increase (decrease) in cash and cash equivalents for the years ended December 31, 2025 and 2024:</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4321"/>
        <w:gridCol w:w="146"/>
        <w:gridCol w:w="272"/>
        <w:gridCol w:w="815"/>
        <w:gridCol w:w="214"/>
        <w:gridCol w:w="188"/>
        <w:gridCol w:w="272"/>
        <w:gridCol w:w="815"/>
        <w:gridCol w:w="4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flows from operating activities represent the cash receipts and disbursements related to all of our activities other than investing and financing activities. Operating cash flow is derived by adjusting our net loss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Non-cash operating items such as depreciation, amortization, and 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operating assets and liabilities which reflect timing differences between the receipt and payment of cash associated with transactions and when they are recognized in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cash flows used in operating activities for the year December 31, 2025 was $2.87 million, as compared to net cash used in operating activities of $4.97 million for the year ended December 31, 2024. The decrease in net cash used in operating activities was primarily related to reductions in our net loss, offset by an increase in timing of accounts payable and accrued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cash flows used in investing activities for the year December 31, 2025 was $98 as compared to $0 for the year ended December 31, 2024. The increase in net cash used in investing activities was directly attributed to an equipment purchase made during the period to be used in our obesity and metabolic disorders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net cash flows from financing activities for the year December 31, 2025 was $3.26 million as compared to $0 for the year ended December 31, 2024. The financing activity was directly attributable to proceeds from the issuance of common stock and prefunded warrants, the sale of Series A-1 Preferred Stock, and the sale of Series A-2 Preferred Stock.</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have no lease commitments, other than a short-term lease.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Royalty and License Fees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2022, Solasia Pharma K. K., or Solasia, announced that darinaparsin had been approved for relapsed or refractory Peripheral T-Cell Lymphoma by the Ministry of Health, Labor and Welfare in Japan. During the years ended December 31, 2025 and 2024, the Company earned $5 and $10, respectively, in royalty revenues on net sales under the Solasia License and Collaboration Agreement.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Significant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Management’s Discussion and Analysis of Financial Condition and Results of Operations is based upon our financial statements, which have been prepared in accordance with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We evaluate our estimates and judgments on an ongoing basis. Actual results may differ materially from these estimates under different assumptions or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the following are our more significant estimates and judgments used in the preparation of our financial statements: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expenses and other research and development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measurements of equity-linked instruments;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Accounting for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cost is measured at the grant date, based on the estimated fair value of the award, and is recognized as expense over the employee’s requisite service period. Stock-based compensation expense is based on the number of awards ultimately expected to vest and is reduced for forfeitures as they occur. Consistent with prior years, the Company uses the Black-Scholes option pricing model, which requires estimates of the expected term option holders will retain their options before exercising them and the estimated volatility of the Company’s common stock price over the expected term.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review our valuation assumptions periodically and, as a result, we may change our valuation assumptions used to value share-based awards granted in future periods. Such changes may lead to a significant change in the expense we recognize in connection with share-based payments.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preparing our financial statements, we estimate our income tax liability in each of the jurisdictions in which we operate by estimating our actual current tax expense together with assessing temporary differences resulting from differing treatment of items for tax and financial reporting purposes. These differences result in deferred tax assets and liabilities, which, prior to the consideration for the need for a valuation allowance, are included on our balance sheet. Significant management judgment is required in assessing the realizability of our deferred tax assets. In performing this assessment,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In making this determination, under the applicable financial accounting standards, we are allowed to consider the scheduled reversal of deferred tax liabilities, projected future taxable income and the effects of tax planning strategies. Our estimates of future taxable income include, among other items, our estimates of future income tax deductions related to the exercise of stock options. In the event that actual results differ from our estimates, we adjust our estimates in future periods and we may need to establish a valuation allowance, which could materially impact our business, financial condition, results of operations, cash flows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account for uncertain tax positions using a “more-likely-than-not”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uncertain tax positions on an annual basis and adjust the level of the liability to reflect any subsequent changes in the relevant facts surrounding the uncertain positions. Our liabilities for uncertain tax positions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have no plans to appeal or litigate any aspect of the tax position; and we believe that it is highly unlikely that the taxing authority would examine or re-examine the related tax position. We also accrue for potential interest and penalties related to unrecognized tax benefits in income tax expense.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new accounting standards, please read Note 3 to the accompanying financial statements, </w:t>
      </w:r>
      <w:r>
        <w:rPr>
          <w:rFonts w:ascii="Times New Roman" w:hAnsi="Times New Roman"/>
          <w:i/>
          <w:color w:val="000000"/>
          <w:sz w:val="20"/>
        </w:rPr>
        <w:t xml:space="preserve">Summary of Significant Accounting Policies </w:t>
      </w:r>
      <w:r>
        <w:rPr>
          <w:rFonts w:ascii="Times New Roman" w:hAnsi="Times New Roman"/>
          <w:color w:val="000000"/>
          <w:sz w:val="20"/>
        </w:rPr>
        <w:t>included in this report.</w:t>
      </w:r>
    </w:p>
    <w:p>
      <w:pPr>
        <w:pStyle w:val="TextBody"/>
        <w:bidi w:val="0"/>
        <w:spacing w:before="240" w:after="283"/>
        <w:jc w:val="both"/>
        <w:rPr>
          <w:rFonts w:ascii="Times New Roman" w:hAnsi="Times New Roman"/>
          <w:sz w:val="20"/>
        </w:rPr>
      </w:pPr>
      <w:bookmarkStart w:id="15" w:name="item_7a_quantitative_and_qualitative"/>
      <w:bookmarkStart w:id="16" w:name="bkmk_20"/>
      <w:bookmarkEnd w:id="15"/>
      <w:bookmarkEnd w:id="16"/>
      <w:r>
        <w:rPr>
          <w:rFonts w:ascii="Times New Roman" w:hAnsi="Times New Roman"/>
          <w:b/>
          <w:i/>
          <w:color w:val="000000"/>
          <w:sz w:val="20"/>
        </w:rPr>
        <w:t>Item 7A. Quantitative and Qualitative</w:t>
      </w:r>
      <w:r>
        <w:rPr>
          <w:rFonts w:ascii="Times New Roman" w:hAnsi="Times New Roman"/>
          <w:color w:val="000000"/>
          <w:sz w:val="20"/>
        </w:rPr>
        <w:t xml:space="preserve"> </w:t>
      </w:r>
      <w:r>
        <w:rPr>
          <w:rFonts w:ascii="Times New Roman" w:hAnsi="Times New Roman"/>
          <w:b/>
          <w:i/>
          <w:color w:val="000000"/>
          <w:sz w:val="20"/>
        </w:rPr>
        <w:t>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smaller reporting company, as defined by Rule 12b-2 of the Exchange Act, we are not required to provide the information under this Item 7A.</w:t>
      </w:r>
    </w:p>
    <w:p>
      <w:pPr>
        <w:pStyle w:val="TextBody"/>
        <w:bidi w:val="0"/>
        <w:jc w:val="both"/>
        <w:rPr/>
      </w:pPr>
      <w:r>
        <w:rPr/>
        <w:t> </w:t>
      </w:r>
    </w:p>
    <w:p>
      <w:pPr>
        <w:pStyle w:val="TextBody"/>
        <w:bidi w:val="0"/>
        <w:spacing w:before="240" w:after="283"/>
        <w:jc w:val="both"/>
        <w:rPr>
          <w:rFonts w:ascii="Times New Roman" w:hAnsi="Times New Roman"/>
          <w:sz w:val="20"/>
        </w:rPr>
      </w:pPr>
      <w:bookmarkStart w:id="17" w:name="item_8_financial_statements"/>
      <w:bookmarkEnd w:id="17"/>
      <w:r>
        <w:rPr>
          <w:rFonts w:ascii="Times New Roman" w:hAnsi="Times New Roman"/>
          <w:b/>
          <w:i/>
          <w:color w:val="000000"/>
          <w:sz w:val="20"/>
        </w:rPr>
        <w:t>Item 8. Financial Statements</w:t>
      </w:r>
      <w:r>
        <w:rPr>
          <w:rFonts w:ascii="Times New Roman" w:hAnsi="Times New Roman"/>
          <w:color w:val="000000"/>
          <w:sz w:val="20"/>
        </w:rPr>
        <w:t xml:space="preserve"> </w:t>
      </w:r>
      <w:r>
        <w:rPr>
          <w:rFonts w:ascii="Times New Roman" w:hAnsi="Times New Roman"/>
          <w:b/>
          <w:i/>
          <w:color w:val="000000"/>
          <w:sz w:val="20"/>
        </w:rPr>
        <w:t>and Supplementary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8" w:name="item_9_changes_in_and_disagreements"/>
      <w:bookmarkEnd w:id="18"/>
      <w:r>
        <w:rPr>
          <w:rFonts w:ascii="Times New Roman" w:hAnsi="Times New Roman"/>
          <w:b/>
          <w:i/>
          <w:color w:val="000000"/>
          <w:sz w:val="20"/>
        </w:rPr>
        <w:t>Item 9. Changes in and Disagreements</w:t>
      </w:r>
      <w:r>
        <w:rPr>
          <w:rFonts w:ascii="Times New Roman" w:hAnsi="Times New Roman"/>
          <w:color w:val="000000"/>
          <w:sz w:val="20"/>
        </w:rPr>
        <w:t xml:space="preserve"> </w:t>
      </w:r>
      <w:r>
        <w:rPr>
          <w:rFonts w:ascii="Times New Roman" w:hAnsi="Times New Roman"/>
          <w:b/>
          <w:i/>
          <w:color w:val="000000"/>
          <w:sz w:val="20"/>
        </w:rPr>
        <w:t>with Accountants on Accounting and Financial Disclosures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b/>
          <w:i/>
          <w:color w:val="000000"/>
          <w:sz w:val="20"/>
        </w:rPr>
      </w:pPr>
      <w:bookmarkStart w:id="19" w:name="item_9a_controls_and_procedures"/>
      <w:bookmarkEnd w:id="19"/>
      <w:r>
        <w:rPr>
          <w:rFonts w:ascii="Times New Roman" w:hAnsi="Times New Roman"/>
          <w:b/>
          <w:i/>
          <w:color w:val="000000"/>
          <w:sz w:val="20"/>
        </w:rPr>
        <w:t>Item 9A. Controls and Procedures</w:t>
      </w:r>
    </w:p>
    <w:p>
      <w:pPr>
        <w:pStyle w:val="TextBody"/>
        <w:bidi w:val="0"/>
        <w:spacing w:before="240" w:after="283"/>
        <w:jc w:val="both"/>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and with the participation of our management, including our principal executive officer and principal financial officer and our principal accounting officer, we have evaluated the effectiveness of our disclosure controls and procedures, as such term is defined under Rule 13a-15(e) or 15d-15(e) promulgated under the Exchange Act, as of December 31, 2025. Based on that evaluation, our principal executive officer and principal financial officer has concluded that as of December 31, 2025, our disclosure controls and procedures were not effective due to a material weakness in internal control over financial reporting related to the lack of sufficient personnel to allow for the required segregation of duties.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note that the design of any system of controls is based in part upon certain assumptions about the likelihood of future events, and there can be no assurance that any design will succeed in achieving the stated goals under all potential future conditions.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0"/>
        </w:rPr>
        <w:t>Management’s Report on Internal Control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officer and principal financial officer and our principal accounting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Pertain to the maintenance of records that in reasonable detail accurately and fairly reflect the transactions and dispositions of our assets;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our assets that could have a material effect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supervision and with the participation of management, including our principal executive officer and principal financial officer and our principal accounting officer, we assessed our internal control over financial reporting as of December 31, 2025, based on criteria for effective internal control over financial reporting established in Internal Control - Integrated Framework (2013), issued by the Committee of Sponsoring Organizations of the Treadway Commission (COSO). Because we are a smaller reporting company, our independent registered public accounting firm is not required to, and has not, issued an attestation report on our internal control over financial reporting. Our management’s assessment of the effectiveness of our internal control over financial reporting included testing and evaluating the design and operating effectiveness of our internal controls. In management’s opinion, we have determined that our internal controls over our financial reporting was not effective due to the lack of sufficient number of personal to allow for the required segregation of duties as of December 31, 2025, based on the criteria discussed above. </w:t>
      </w:r>
    </w:p>
    <w:p>
      <w:pPr>
        <w:pStyle w:val="TextBody"/>
        <w:bidi w:val="0"/>
        <w:spacing w:before="240" w:after="283"/>
        <w:jc w:val="both"/>
        <w:rPr>
          <w:rFonts w:ascii="Times New Roman" w:hAnsi="Times New Roman"/>
          <w:sz w:val="20"/>
        </w:rPr>
      </w:pPr>
      <w:r>
        <w:rPr>
          <w:rFonts w:ascii="Times New Roman" w:hAnsi="Times New Roman"/>
          <w:b/>
          <w:color w:val="000000"/>
          <w:sz w:val="20"/>
        </w:rPr>
        <w:t>Inherent Limitations on Internal Controls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management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our company have been detected. These inherent limitations include the realities that judgments in decision-making can be faulty, and that breakdowns can occur because of a simple error or mistake. Additionally, controls can be circumvented by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 </w:t>
      </w:r>
    </w:p>
    <w:p>
      <w:pPr>
        <w:pStyle w:val="TextBody"/>
        <w:bidi w:val="0"/>
        <w:spacing w:before="240" w:after="283"/>
        <w:jc w:val="both"/>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(as defined in Rule 13a-15(f) and Rule 15d-15(f) of the Exchange Act) that occurred during the year ended December 31, 2025 that have materially affected, or are reasonably likely to materially affect, our internal control over financial reporting. </w:t>
      </w:r>
    </w:p>
    <w:p>
      <w:pPr>
        <w:pStyle w:val="TextBody"/>
        <w:bidi w:val="0"/>
        <w:spacing w:before="240" w:after="283"/>
        <w:jc w:val="both"/>
        <w:rPr>
          <w:rFonts w:ascii="Times New Roman" w:hAnsi="Times New Roman"/>
          <w:sz w:val="20"/>
        </w:rPr>
      </w:pPr>
      <w:bookmarkStart w:id="20" w:name="item_9b_other_information"/>
      <w:bookmarkEnd w:id="20"/>
      <w:r>
        <w:rPr>
          <w:rFonts w:ascii="Times New Roman" w:hAnsi="Times New Roman"/>
          <w:b/>
          <w:i/>
          <w:color w:val="000000"/>
          <w:sz w:val="20"/>
        </w:rPr>
        <w:t>Item 9B. Other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Trading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2025, no director or Section 16 officer of the Company adopted or terminated a "Rule 10b5-1 trading arrangement" or "non-Rule 10b5-1 trading arrangement" as each term is defined in Item 408(a) of Regulation S-K.</w:t>
      </w:r>
    </w:p>
    <w:p>
      <w:pPr>
        <w:pStyle w:val="TextBody"/>
        <w:bidi w:val="0"/>
        <w:spacing w:before="240" w:after="283"/>
        <w:jc w:val="both"/>
        <w:rPr>
          <w:rFonts w:ascii="Times New Roman" w:hAnsi="Times New Roman"/>
          <w:sz w:val="20"/>
        </w:rPr>
      </w:pPr>
      <w:bookmarkStart w:id="21" w:name="item_9c_disclosure_regarding"/>
      <w:bookmarkEnd w:id="21"/>
      <w:r>
        <w:rPr>
          <w:rFonts w:ascii="Times New Roman" w:hAnsi="Times New Roman"/>
          <w:b/>
          <w:i/>
          <w:color w:val="000000"/>
          <w:sz w:val="20"/>
        </w:rPr>
        <w:t>Item 9C. Disclosure Regarding</w:t>
      </w:r>
      <w:r>
        <w:rPr>
          <w:rFonts w:ascii="Times New Roman" w:hAnsi="Times New Roman"/>
          <w:color w:val="000000"/>
          <w:sz w:val="20"/>
        </w:rPr>
        <w:t xml:space="preserve"> </w:t>
      </w:r>
      <w:r>
        <w:rPr>
          <w:rFonts w:ascii="Times New Roman" w:hAnsi="Times New Roman"/>
          <w:b/>
          <w:i/>
          <w:color w:val="000000"/>
          <w:sz w:val="20"/>
        </w:rPr>
        <w:t>Foreign Jurisdictions that Prevent Inspections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bkmk_134"/>
      <w:bookmarkEnd w:id="22"/>
      <w:r>
        <w:rPr>
          <w:rFonts w:ascii="Times New Roman" w:hAnsi="Times New Roman"/>
          <w:b/>
          <w:color w:val="000000"/>
          <w:sz w:val="20"/>
        </w:rPr>
        <w:t>PART III</w:t>
      </w:r>
    </w:p>
    <w:p>
      <w:pPr>
        <w:pStyle w:val="TextBody"/>
        <w:bidi w:val="0"/>
        <w:spacing w:before="240" w:after="283"/>
        <w:jc w:val="left"/>
        <w:rPr>
          <w:rFonts w:ascii="Times New Roman" w:hAnsi="Times New Roman"/>
          <w:sz w:val="20"/>
        </w:rPr>
      </w:pPr>
      <w:bookmarkStart w:id="23" w:name="item_10_directors_executive"/>
      <w:bookmarkStart w:id="24" w:name="bkmk_25"/>
      <w:bookmarkEnd w:id="23"/>
      <w:bookmarkEnd w:id="24"/>
      <w:r>
        <w:rPr>
          <w:rFonts w:ascii="Times New Roman" w:hAnsi="Times New Roman"/>
          <w:b/>
          <w:i/>
          <w:color w:val="000000"/>
          <w:sz w:val="20"/>
        </w:rPr>
        <w:t>Item 10. Directors, Executive</w:t>
      </w:r>
      <w:r>
        <w:rPr>
          <w:rFonts w:ascii="Times New Roman" w:hAnsi="Times New Roman"/>
          <w:color w:val="000000"/>
          <w:sz w:val="20"/>
        </w:rPr>
        <w:t xml:space="preserve"> </w:t>
      </w:r>
      <w:r>
        <w:rPr>
          <w:rFonts w:ascii="Times New Roman" w:hAnsi="Times New Roman"/>
          <w:b/>
          <w:i/>
          <w:color w:val="000000"/>
          <w:sz w:val="20"/>
        </w:rPr>
        <w:t>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10 will be included in our definitive proxy statement to be filed with the SEC with respect to our 2026 Annual Meeting of Stockholders and is incorporated herein by reference.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Policy Prohibiting Insider Trading and Related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insider trading policy has been reasonably designed to promote compliance with applicable insider trading laws, rules and regulations, and Nasdaq listing standards. Our Insider Trading Policy is filed hereto as Exhibit 19.1 to our Annual Report on Form 10-K for the fiscal year ended December 31, 2025.</w:t>
      </w:r>
    </w:p>
    <w:p>
      <w:pPr>
        <w:pStyle w:val="TextBody"/>
        <w:bidi w:val="0"/>
        <w:spacing w:before="240" w:after="283"/>
        <w:jc w:val="left"/>
        <w:rPr>
          <w:rFonts w:ascii="Times New Roman" w:hAnsi="Times New Roman"/>
          <w:b/>
          <w:i/>
          <w:color w:val="000000"/>
          <w:sz w:val="20"/>
        </w:rPr>
      </w:pPr>
      <w:bookmarkStart w:id="25" w:name="item_11_executive_compensation"/>
      <w:bookmarkStart w:id="26" w:name="bkmk_26"/>
      <w:bookmarkEnd w:id="25"/>
      <w:bookmarkEnd w:id="26"/>
      <w:r>
        <w:rPr>
          <w:rFonts w:ascii="Times New Roman" w:hAnsi="Times New Roman"/>
          <w:b/>
          <w:i/>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11 will be included in our definitive proxy statement to be filed with the SEC with respect to our 2026 Annual Meeting of Stockholders and is incorporated herein by reference.</w:t>
      </w:r>
    </w:p>
    <w:p>
      <w:pPr>
        <w:pStyle w:val="TextBody"/>
        <w:bidi w:val="0"/>
        <w:spacing w:before="240" w:after="283"/>
        <w:jc w:val="left"/>
        <w:rPr>
          <w:rFonts w:ascii="Times New Roman" w:hAnsi="Times New Roman"/>
          <w:sz w:val="20"/>
        </w:rPr>
      </w:pPr>
      <w:bookmarkStart w:id="27" w:name="item_12_security_ownership"/>
      <w:bookmarkStart w:id="28" w:name="bkmk_27"/>
      <w:bookmarkEnd w:id="27"/>
      <w:bookmarkEnd w:id="28"/>
      <w:r>
        <w:rPr>
          <w:rFonts w:ascii="Times New Roman" w:hAnsi="Times New Roman"/>
          <w:b/>
          <w:i/>
          <w:color w:val="000000"/>
          <w:sz w:val="20"/>
        </w:rPr>
        <w:t>Item 12. Security Ownership</w:t>
      </w:r>
      <w:r>
        <w:rPr>
          <w:rFonts w:ascii="Times New Roman" w:hAnsi="Times New Roman"/>
          <w:color w:val="000000"/>
          <w:sz w:val="20"/>
        </w:rPr>
        <w:t xml:space="preserve"> </w:t>
      </w:r>
      <w:r>
        <w:rPr>
          <w:rFonts w:ascii="Times New Roman" w:hAnsi="Times New Roman"/>
          <w:b/>
          <w:i/>
          <w:color w:val="000000"/>
          <w:sz w:val="20"/>
        </w:rPr>
        <w:t>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12 will be included in our definitive proxy statement to be filed with the SEC with respect to our 2026 Annual Meeting of Stockholders and is incorporated herein by reference.</w:t>
      </w:r>
    </w:p>
    <w:p>
      <w:pPr>
        <w:pStyle w:val="TextBody"/>
        <w:bidi w:val="0"/>
        <w:spacing w:before="240" w:after="283"/>
        <w:jc w:val="left"/>
        <w:rPr>
          <w:rFonts w:ascii="Times New Roman" w:hAnsi="Times New Roman"/>
          <w:sz w:val="20"/>
        </w:rPr>
      </w:pPr>
      <w:bookmarkStart w:id="29" w:name="item_13_certain_relationships"/>
      <w:bookmarkStart w:id="30" w:name="bkmk_28"/>
      <w:bookmarkEnd w:id="29"/>
      <w:bookmarkEnd w:id="30"/>
      <w:r>
        <w:rPr>
          <w:rFonts w:ascii="Times New Roman" w:hAnsi="Times New Roman"/>
          <w:b/>
          <w:i/>
          <w:color w:val="000000"/>
          <w:sz w:val="20"/>
        </w:rPr>
        <w:t>Item 13. Certain Relationships</w:t>
      </w:r>
      <w:r>
        <w:rPr>
          <w:rFonts w:ascii="Times New Roman" w:hAnsi="Times New Roman"/>
          <w:color w:val="000000"/>
          <w:sz w:val="20"/>
        </w:rPr>
        <w:t xml:space="preserve"> </w:t>
      </w:r>
      <w:r>
        <w:rPr>
          <w:rFonts w:ascii="Times New Roman" w:hAnsi="Times New Roman"/>
          <w:b/>
          <w:i/>
          <w:color w:val="000000"/>
          <w:sz w:val="20"/>
        </w:rPr>
        <w:t>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13 will be included in our definitive proxy statement to be filed with the SEC with respect to our 2026 Annual Meeting of Stockholders and is incorporated herein by reference.</w:t>
      </w:r>
    </w:p>
    <w:p>
      <w:pPr>
        <w:pStyle w:val="TextBody"/>
        <w:bidi w:val="0"/>
        <w:spacing w:before="240" w:after="283"/>
        <w:jc w:val="left"/>
        <w:rPr>
          <w:rFonts w:ascii="Times New Roman" w:hAnsi="Times New Roman"/>
          <w:sz w:val="20"/>
        </w:rPr>
      </w:pPr>
      <w:bookmarkStart w:id="31" w:name="item_14_principal_accountant"/>
      <w:bookmarkStart w:id="32" w:name="bkmk_29"/>
      <w:bookmarkEnd w:id="31"/>
      <w:bookmarkEnd w:id="32"/>
      <w:r>
        <w:rPr>
          <w:rFonts w:ascii="Times New Roman" w:hAnsi="Times New Roman"/>
          <w:b/>
          <w:i/>
          <w:color w:val="000000"/>
          <w:sz w:val="20"/>
        </w:rPr>
        <w:t>Item 14. Principal Accountant</w:t>
      </w:r>
      <w:r>
        <w:rPr>
          <w:rFonts w:ascii="Times New Roman" w:hAnsi="Times New Roman"/>
          <w:color w:val="000000"/>
          <w:sz w:val="20"/>
        </w:rPr>
        <w:t xml:space="preserve"> </w:t>
      </w:r>
      <w:r>
        <w:rPr>
          <w:rFonts w:ascii="Times New Roman" w:hAnsi="Times New Roman"/>
          <w:b/>
          <w:i/>
          <w:color w:val="000000"/>
          <w:sz w:val="20"/>
        </w:rPr>
        <w:t>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14 will be included in our definitive proxy statement to be filed with the SEC with respect to our 2026 Annual Meeting of Stockholders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3" w:name="bkmk_140"/>
      <w:bookmarkEnd w:id="33"/>
      <w:r>
        <w:rPr>
          <w:rFonts w:ascii="Times New Roman" w:hAnsi="Times New Roman"/>
          <w:b/>
          <w:color w:val="000000"/>
          <w:sz w:val="20"/>
        </w:rPr>
        <w:t>PART IV</w:t>
      </w:r>
    </w:p>
    <w:p>
      <w:pPr>
        <w:pStyle w:val="TextBody"/>
        <w:bidi w:val="0"/>
        <w:spacing w:before="240" w:after="283"/>
        <w:jc w:val="left"/>
        <w:rPr>
          <w:rFonts w:ascii="Times New Roman" w:hAnsi="Times New Roman"/>
          <w:b/>
          <w:i/>
          <w:color w:val="000000"/>
          <w:sz w:val="20"/>
        </w:rPr>
      </w:pPr>
      <w:bookmarkStart w:id="34" w:name="item_15_exhibits"/>
      <w:bookmarkStart w:id="35" w:name="bkmk_30"/>
      <w:bookmarkEnd w:id="34"/>
      <w:bookmarkEnd w:id="35"/>
      <w:r>
        <w:rPr>
          <w:rFonts w:ascii="Times New Roman" w:hAnsi="Times New Roman"/>
          <w:b/>
          <w:i/>
          <w:color w:val="000000"/>
          <w:sz w:val="20"/>
        </w:rPr>
        <w:t>Item 15. Exhibits, Financial Statement Schedules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(1)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Financial Statements required to be filed by Item 8 of this Annual Report, and filed in this Item 15, are as follows:</w:t>
      </w:r>
    </w:p>
    <w:tbl>
      <w:tblPr>
        <w:tblW w:w="9268" w:type="dxa"/>
        <w:jc w:val="left"/>
        <w:tblInd w:w="0" w:type="dxa"/>
        <w:tblLayout w:type="fixed"/>
        <w:tblCellMar>
          <w:top w:w="28" w:type="dxa"/>
          <w:left w:w="28" w:type="dxa"/>
          <w:bottom w:w="28" w:type="dxa"/>
          <w:right w:w="28" w:type="dxa"/>
        </w:tblCellMar>
      </w:tblPr>
      <w:tblGrid>
        <w:gridCol w:w="8191"/>
        <w:gridCol w:w="146"/>
        <w:gridCol w:w="184"/>
        <w:gridCol w:w="376"/>
        <w:gridCol w:w="371"/>
      </w:tblGrid>
      <w:tr>
        <w:trPr/>
        <w:tc>
          <w:tcPr>
            <w:tcW w:w="8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c>
          <w:tcPr>
            <w:tcW w:w="371" w:type="dxa"/>
            <w:tcBorders>
              <w:bottom w:val="single" w:sz="7" w:space="0" w:color="000000"/>
            </w:tcBorders>
            <w:tcMar>
              <w:top w:w="0" w:type="dxa"/>
              <w:left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report_of_independent">
              <w:r>
                <w:rPr>
                  <w:rStyle w:val="InternetLink"/>
                  <w:rFonts w:ascii="Times New Roman" w:hAnsi="Times New Roman"/>
                  <w:color w:val="0000FF"/>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report_of_independent">
              <w:r>
                <w:rPr>
                  <w:rStyle w:val="InternetLink"/>
                  <w:rFonts w:ascii="Times New Roman" w:hAnsi="Times New Roman"/>
                  <w:color w:val="0000FF"/>
                  <w:sz w:val="20"/>
                  <w:u w:val="single"/>
                </w:rPr>
                <w:t>Report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balance_sheets">
              <w:r>
                <w:rPr>
                  <w:rStyle w:val="InternetLink"/>
                  <w:rFonts w:ascii="Times New Roman" w:hAnsi="Times New Roman"/>
                  <w:color w:val="0000FF"/>
                  <w:sz w:val="20"/>
                  <w:u w:val="single"/>
                </w:rPr>
                <w:t>Balance Sheets as of December 31, 2025 and December 31,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F-3</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statements_of_operations">
              <w:r>
                <w:rPr>
                  <w:rStyle w:val="InternetLink"/>
                  <w:rFonts w:ascii="Times New Roman" w:hAnsi="Times New Roman"/>
                  <w:color w:val="0000FF"/>
                  <w:sz w:val="20"/>
                  <w:u w:val="single"/>
                </w:rPr>
                <w:t>Statements of Operations for the Years Ended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stockholders_equity">
              <w:r>
                <w:rPr>
                  <w:rStyle w:val="InternetLink"/>
                  <w:rFonts w:ascii="Times New Roman" w:hAnsi="Times New Roman"/>
                  <w:color w:val="0000FF"/>
                  <w:sz w:val="20"/>
                  <w:u w:val="single"/>
                </w:rPr>
                <w:t>Statements of Changes in Stockholders’ Equity for the Years Ended</w:t>
              </w:r>
            </w:hyperlink>
            <w:hyperlink w:anchor="stockholders_equity">
              <w:r>
                <w:rPr>
                  <w:rStyle w:val="InternetLink"/>
                  <w:rFonts w:ascii="Times New Roman" w:hAnsi="Times New Roman"/>
                  <w:color w:val="0000FF"/>
                  <w:sz w:val="20"/>
                </w:rPr>
                <w:t xml:space="preserve"> </w:t>
              </w:r>
            </w:hyperlink>
            <w:hyperlink w:anchor="statements_of_operations">
              <w:r>
                <w:rPr>
                  <w:rStyle w:val="InternetLink"/>
                  <w:rFonts w:ascii="Times New Roman" w:hAnsi="Times New Roman"/>
                  <w:color w:val="0000FF"/>
                  <w:sz w:val="20"/>
                  <w:u w:val="single"/>
                </w:rPr>
                <w:t>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ash_flows">
              <w:r>
                <w:rPr>
                  <w:rStyle w:val="InternetLink"/>
                  <w:rFonts w:ascii="Times New Roman" w:hAnsi="Times New Roman"/>
                  <w:color w:val="0000FF"/>
                  <w:sz w:val="20"/>
                  <w:u w:val="single"/>
                </w:rPr>
                <w:t>Statements of Cash Flows for the Years Ended</w:t>
              </w:r>
            </w:hyperlink>
            <w:hyperlink w:anchor="cash_flows">
              <w:r>
                <w:rPr>
                  <w:rStyle w:val="InternetLink"/>
                  <w:rFonts w:ascii="Times New Roman" w:hAnsi="Times New Roman"/>
                  <w:color w:val="0000FF"/>
                  <w:sz w:val="20"/>
                </w:rPr>
                <w:t xml:space="preserve"> </w:t>
              </w:r>
            </w:hyperlink>
            <w:hyperlink w:anchor="statements_of_operations">
              <w:r>
                <w:rPr>
                  <w:rStyle w:val="InternetLink"/>
                  <w:rFonts w:ascii="Times New Roman" w:hAnsi="Times New Roman"/>
                  <w:color w:val="0000FF"/>
                  <w:sz w:val="20"/>
                  <w:u w:val="single"/>
                </w:rPr>
                <w:t>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notes_to_financial_statements">
              <w:r>
                <w:rPr>
                  <w:rStyle w:val="InternetLink"/>
                  <w:rFonts w:ascii="Times New Roman" w:hAnsi="Times New Roman"/>
                  <w:color w:val="0000FF"/>
                  <w:sz w:val="20"/>
                  <w:u w:val="single"/>
                </w:rPr>
                <w:t>Notes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 Financial Statement Schedules:</w:t>
      </w:r>
    </w:p>
    <w:p>
      <w:pPr>
        <w:pStyle w:val="TextBody"/>
        <w:bidi w:val="0"/>
        <w:spacing w:before="108" w:after="283"/>
        <w:jc w:val="left"/>
        <w:rPr>
          <w:rFonts w:ascii="Times New Roman" w:hAnsi="Times New Roman"/>
          <w:color w:val="000000"/>
          <w:sz w:val="20"/>
        </w:rPr>
      </w:pPr>
      <w:bookmarkStart w:id="36" w:name="bkmk_147"/>
      <w:bookmarkEnd w:id="36"/>
      <w:r>
        <w:rPr>
          <w:rFonts w:ascii="Times New Roman" w:hAnsi="Times New Roman"/>
          <w:color w:val="000000"/>
          <w:sz w:val="20"/>
        </w:rPr>
        <w:t>Schedules are omitted because they are not applicable, or are not required, or because the information is included in the financial statements and notes thereto.</w:t>
      </w:r>
    </w:p>
    <w:p>
      <w:pPr>
        <w:pStyle w:val="TextBody"/>
        <w:bidi w:val="0"/>
        <w:spacing w:before="240" w:after="283"/>
        <w:jc w:val="left"/>
        <w:rPr>
          <w:rFonts w:ascii="Times New Roman" w:hAnsi="Times New Roman"/>
          <w:sz w:val="20"/>
        </w:rPr>
      </w:pPr>
      <w:r>
        <w:rPr>
          <w:rFonts w:ascii="Times New Roman" w:hAnsi="Times New Roman"/>
          <w:i/>
          <w:color w:val="000000"/>
          <w:sz w:val="20"/>
        </w:rPr>
        <w:t>(3)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4"/>
        <w:gridCol w:w="146"/>
        <w:gridCol w:w="9385"/>
      </w:tblGrid>
      <w:tr>
        <w:trPr/>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5" w:type="dxa"/>
            <w:tcBorders/>
            <w:vAlign w:val="center"/>
          </w:tcPr>
          <w:p>
            <w:pPr>
              <w:pStyle w:val="TableContents"/>
              <w:bidi w:val="0"/>
              <w:spacing w:before="0" w:after="283"/>
              <w:jc w:val="left"/>
              <w:rPr>
                <w:sz w:val="4"/>
                <w:szCs w:val="4"/>
              </w:rPr>
            </w:pPr>
            <w:r>
              <w:rPr>
                <w:sz w:val="4"/>
                <w:szCs w:val="4"/>
              </w:rPr>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Description of Document</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Amended and Restated Certificate of Incorporation (incorporated by reference to Exhibit 3.1 to the Registrant's Form 8-K filed July 17, 2024)</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the Third Amended and Restated Certificate of Incorporation (incorporated by reference to Exhibit 3.1 to the Registrant’s Current Report on Form 8-K filed with the SEC on July 10, 2025)</w:t>
              </w:r>
            </w:hyperlink>
          </w:p>
        </w:tc>
      </w:tr>
      <w:tr>
        <w:trPr/>
        <w:tc>
          <w:tcPr>
            <w:tcW w:w="674"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3.3</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Certificate of Designation, Preferences and Rights of Series 1 Preferred Stock, as filed with the Delaware Secretary of State on July 1, 2016 (incorporated by reference to Exhibit 3.1 to the Registrant’s Current Report on Form 8-K/A, SEC File No. 001-33038, filed July 1, 2016)</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Designation of Series A-1 Convertible Preferred Stock of Alaunos Therapeutics, Inc. (incorporated by reference to Exhibit 3.1 to the Registrant’s Current Report on Form 8-K filed with the SEC on April 14, 2025)</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Designation of Series A-2 Convertible Preferred Stock of Alaunos Therapeutics, Inc. (incorporated by reference to Exhibit 3.1 to the Registrant’s Current Report on Form 8-K filed with the SEC on June 26, 2025)</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Registrant, dated as of January 8, 2026 (incorporated by reference to Exhibit 3.1 to the Registrant’s Current Report on Form 8-K, SEC File No. 001-33038, filed January 8, 2026)</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Form of Warrant to Purchase Common Stock (incorporated by reference to Exhibit 4.1 to the Registrant’s Current Report on Form 8-K SEC File No. 001-33038 filed November 13, 2018)</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Warrant to Purchase Common Stock issued to The University of Texas M. D. Anderson Cancer Center (incorporated by reference to Exhibit 4.7 to the Registrant’s Annual Report on Form 10-K, SEC File No. 001-33038, filed March 2, 2020)</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Form of Warrant to Purchase Shares of Common Stock issued to SVB and certain of its Affiliates, dated December 28, 2021 (incorporated by reference to Exhibit 4.6 to the Registrant's Annual Report on Form 10-K, SEC File No. 001-33038, filed March 30, 2022)</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Common Stock Purchase Warrant, dated May 19, 2025, issued by Alaunos Therapeutics, Inc. to Mast Hill Fund, L.P. (incorporated by reference to Exhibit 4.1 to the Registrant’s Current Report on Form 8-K filed with the SEC on May 23, 2025).</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No. 1 to the Common Stock Purchase Warrant Issued on May 19, 2025, dated June 9, 2025, by and between Alaunos Therapeutics, Inc. and Mast Hill Fund, L.P. (incorporated by reference to Exhibit 4.1 to the Registrant’s Current Report on Form 8-K filed with the SEC on June 9, 2025)</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Prefunded Warrant (incorporated by reference to Exhibit 4.1 to the Registrant’s Current Report on Form 8-K filed with the SEC on June 26, 2025)</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Description of Securities Registered Pursuant to Section 12 of the Securities Exchange Act of 1934, as amended (incorporated by reference to Exhibit 4.7 to the Registrant's Annual Report on Form 10-K, SEC File No. 001-33038, filed March 30, 2022).</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Inducement Award Grant Notice and Inducement Award Grant Agreement (incorporated by reference to Exhibit 99.3 to the Registrant’s Registration Statement on Form S-8, SEC File No. 333-238090, filed May 8, 2020)</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ZIOPHARM Oncology, Inc. 2020 Equity Incentive Plan (incorporated by reference to Exhibit 10.1 to the Registrant’s Current Report on Form 8-K SEC File No. 001-33038 filed July 1, 2020)</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4"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Form of Restricted Stock Agreement Granted Under the ZIOPHARM Oncology, Inc. 2020 Equity Incentive Plan (incorporated by reference to Exhibit 10.9 to the Registrant’s Annual Report on Form 10-K, SEC File No. 001-33038, filed March 1, 2021)</w:t>
              </w:r>
            </w:hyperlink>
          </w:p>
        </w:tc>
      </w:tr>
      <w:tr>
        <w:trPr/>
        <w:tc>
          <w:tcPr>
            <w:tcW w:w="67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85"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5"/>
        <w:gridCol w:w="146"/>
        <w:gridCol w:w="9324"/>
      </w:tblGrid>
      <w:tr>
        <w:trPr/>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left"/>
              <w:rPr>
                <w:sz w:val="4"/>
                <w:szCs w:val="4"/>
              </w:rPr>
            </w:pPr>
            <w:r>
              <w:rPr>
                <w:sz w:val="4"/>
                <w:szCs w:val="4"/>
              </w:rPr>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Stock Option Agreement Granted Under the ZIOPHARM Oncology, Inc. 2020 Equity Incentive Plan (incorporated by reference to Exhibit 10.10 to the Registrant’s Annual Report on Form 10-K, SEC File No. 001-33038, filed March 1, 2021 )</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Retention Bonus Agreement (incorporated by reference to Exhibit 10.20 to the Registrant’s Annual Report on Form 10-K, SEC File No. 001-33038, filed March 1, 2021)</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License Agreement by and among the Registrant, Intrexon Corporation and The University of Texas System Board of Regents on behalf of The University of Texas M.D. Anderson Cancer Center dated as of January 13, 2015 (incorporated by reference to Exhibit 10.5 to the Registrant’s Current Report on Form 8-K, SEC File No. 001-33038, filed January 28, 2015)</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Exclusive License Agreement by and between the Registrant, Precigen, Inc. and Intrexon Corporation, dated October 5, 2018 (incorporated by reference to Exhibit 10.1 to the Registrant’s Quarterly Report on Form 10-Q, SEC File No. 001-33038, filed November 9, 2018)</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Amendment No. 1 to the Exclusive License Agreement by and between the Registrant and PGEN Therapeutics, Inc. (formerly known as Precigen, Inc.), dated October 15, 2020 (incorporated by reference to Exhibit 10.2 to the Registrant’s Quarterly Report on Form 10-Q SEC File No. 001-33038, filed November 5, 2020)</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Amended and Restated Exclusive License Agreement, dated, April 3, 2023, by and between the Registrant and Precigen, Inc. (incorporated by reference to Exhibit 10.1 to the Registrant's Quarterly Report on Form 10-Q SEC File No. 001-33038, filed May 10, 2023)</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License and Collaboration Agreement by and among the Registrant, Intrexon Corporation and Ares Trading S.A. dated as of March 27, 2015 (incorporated by reference to Exhibit 10.1 to the Registrant’s Current Report on Form 8-K, SEC File No. 001-33038, filed April 2, 2015)</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Research and Development Agreement by and among the Registrant, Intrexon Corporation and The University of Texas M.D. Anderson Cancer Center dated as of August 17, 2015 (incorporated by reference to Exhibit 10.1 to the Registrant’s Current Report on Form 8-K, SEC File No. 001-33038, filed August 21, 2015)</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First Amendment to the Research and Development Agreement by and among the Registrant, Intrexon Corporation and The University of Texas M.D. Anderson Cancer Center dated as of August 30, 2016 (incorporated by reference to Exhibit 10.21 to the Registrant’s Annual Report on Form 10-K, SEC File No. 001-33038, filed March 5, 2019)</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Second Amendment to the Research and Development Agreement by and among the Registrant, Intrexon Corporation and The University of Texas M.D. Anderson Cancer Center dated as of January 17, 2017 (incorporated by reference to Exhibit 10.21 to the Registrant’s Annual Report on Form 10-K, SEC File No. 001-33038, filed March 5, 2019)</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Third Amendment to the Research and Development Agreement by and among the Registrant, Intrexon Corporation and The University of Texas M.D. Anderson Cancer Center dated as of November 14, 2017 (incorporated by reference to Exhibit 10.23 to the Registrant’s Annual Report on Form 10-K, SEC File No. 001-33038, filed March 5, 2019)</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Fourth Amendment to Research and Development Agreement, dated September 19, 2019 by and among the Registrant, The University of Texas MD Anderson Cancer Center and Precigen, Inc. (incorporated by reference to Exhibit 10.7 to the Registrant’s Quarterly Report on Form 10-Q, SEC File No. 001-33038, filed November 7, 2019)</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Fifth Amendment to Research and Development Agreement, dated October 22, 2019 by and among the Registrant and The University of Texas MD Anderson Cancer Center (incorporated by reference to Exhibit 10.20 to the Registrant’s Annual Report on Form 10-K, SEC File No. 001-33038, filed March 2, 2020)</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2019 Research and Development Agreement, dated October 22, 2019, by and between the Registrant and The University of Texas MD Anderson Cancer Center (incorporated by reference to Exhibit 10.21 to the Registrant’s Annual Report on Form 10-K, SEC File No. 001-33038, filed March 2, 2020)</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Patent License Agreement, dated as of May 28, 2019, by and between the Registrant and the National Cancer Institute (incorporated by reference to Exhibit 10.3 to the Registrant’s Quarterly Report on Form 10-Q, SEC File No. 001-33038, filed August 8, 2019)</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First Amendment to Patent License Agreement, dated as of January 8, 2020, by and between the Registrant and the National Cancer Institute (incorporated by reference to Exhibit 10.23 to the Registrant’s Annual Report on Form 10-K, SEC File No. 001-33038, filed March 2, 2020)</w:t>
              </w:r>
            </w:hyperlink>
          </w:p>
        </w:tc>
      </w:tr>
      <w:tr>
        <w:trPr/>
        <w:tc>
          <w:tcPr>
            <w:tcW w:w="73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Second Amendment to Patent License Agreement, dated as of September 28, 2020, by and between the Registrant and the National Cancer Institute (incorporated by reference to Exhibit 10.1 to the Registrant’s Quarterly Report on Form 10-Q, SEC File No. 000-33038, filed November 5, 2020)</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Third Amendment to Patent License Agreement, dated as of April 16, 2021, by and between the Registrant and the National Cancer Institute (incorporated by reference to Exhibit 10.38 to the Registrant’s Annual Report on Form 10-K, SEC File No. 001-33038, filed March 30, 2022)</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5"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Fourth Amendment to Patent License Agreement, dated as of May 4, 2021, by and between the Registrant and the National Cancer Institute (incorporated by reference to Exhibit 10.39 to the Registrant’s Annual Report on Form 10-K, SEC File No. 001-33038, filed March 30, 2022)</w:t>
              </w:r>
            </w:hyperlink>
          </w:p>
        </w:tc>
      </w:tr>
      <w:tr>
        <w:trPr/>
        <w:tc>
          <w:tcPr>
            <w:tcW w:w="7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4"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9"/>
        <w:gridCol w:w="146"/>
        <w:gridCol w:w="9300"/>
      </w:tblGrid>
      <w:tr>
        <w:trPr/>
        <w:tc>
          <w:tcPr>
            <w:tcW w:w="7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Fifth Amendment to Patent License Agreement, dated as of August 13, 2021, by and between the Registrant and the National Cancer Institute (incorporated by reference to Exhibit 10.40 to the Registrant’s Annual Report on Form 10-K, SEC File No. 001-33038, filed March 30, 2022)</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Cooperative Research and Development Agreement, dated January 9, 2017, by and among the Registrant, the National Cancer Institute, and Intrexon Corporation (incorporated by reference to Exhibit 10.1 to the Registrant’s Current Report on Form 8-K SEC File No. 001-33038, filed September 26, 2019)</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First Amendment to the Cooperative Research and Development Agreement, dated March 23, 2018, by and among the Registrant, National Cancer Institute, Intrexon Corporation and Precigen, Inc. (incorporated by reference to Exhibit 10.2 to the Registrant’s Current Report on Form 8-K SEC File No. 001-33038, filed September 26, 2019)</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Second Amendment to the Cooperative Research and Development Agreement, dated February 1, 2019, by and among the National Cancer Institute, the Registrant and Precigen, Inc. (incorporated by reference to Exhibit 10.3 to the Registrant’s Current Report on Form 8-K SEC File No. 001-33038, filed September 26, 2019)</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Third Amendment to the Cooperative Research and Development Agreement, dated March 15, 2022, by and among the National Cancer Institute and the Registrant (incorporated by reference to Exhibit 10.44 to the Registrant’s Annual Report on Form 10-K, SEC File No. 001-33038, filed March 30, 2022)</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Fourth Amendment to the Cooperative Research and Development Agreement, dated June 24, 2022, by and between the National Cancer Institute and the Registrant (incorporated by reference to Exhibit 10.1 to the Registrant's Quarterly Report on Form 10-Q, SEC File No. 001-33038, filed August 15, 2022)</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Lease Agreement, dated as of October 15, 2019, by and between the Registrant and The University of Texas System Board of Regents on behalf of The University of Texas M.D. Anderson Cancer Center (incorporated by reference to Exhibit 10.39 to the Registrant’s Annual Report on Form 10-K, SEC File No. 001-33038, filed March 1,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First Amendment, dated as of April 7, 2020, to the Lease Agreement, dated as of October 15, 2019, by and between the Registrant and The University of Texas System Board of Regents on behalf of The University of Texas M.D. Anderson Cancer Center (incorporated by reference to Exhibit 10.40 to the Registrant’s Annual Report on Form 10-K, SEC File No. 001-33038, filed March 1,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Second Amendment, dated as of April 7, 2020, to the Lease Agreement, dated as of October 15, 2019, by and between the Registrant and The University of Texas System Board of Regents on behalf of The University of Texas M.D. Anderson Cancer Center (incorporated by reference to Exhibit 10.41 to the Registrant’s Annual Report on Form 10-K, SEC File No. 001-33038, filed March 1,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Third Amendment, dated as of December 15, 2020, to the Lease Agreement, dated as of October 15, 2019, by and between the Registrant and The University of Texas System Board of Regents on behalf of The University of Texas M.D. Anderson Cancer Center (incorporated by reference to Exhibit 10.42 to the Registrant’s Annual Report on Form 10-K, SEC File No. 001-33038, filed March 1,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Lease Agreement dated as of December 15, 2020, by and between the Registrant and The University of Texas System Board of Regents on behalf of The University of Texas M.D. Anderson Cancer Center (incorporated by reference to Exhibit 10.43 to the Registrant’s Annual Report on Form 10-K, SEC File No. 001-33038, filed March 1,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Agreement dated February 4, 2021, by and among the Registrant, WaterMill Asset Management Corp. and Robert W. Postma (incorporated by reference to Exhibit 10.1 to the Registrant’s Current Report on Form 8-K, SEC File No. 001-33038, filed February 5,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Loan and Security Agreement by and among the Registrant, the lenders party thereto and Silicon Valley Bank, as administrative agent and collateral agent, dated August 6, 2021 (incorporated by reference to Exhibit 10.1 to the Registrant’s Quarterly Report on Form 10-Q, SEC File No. 001-33038, filed November 8, 2021)</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First Amendment to the Loan and Security Agreement by and among the Registrant, the lenders party thereto and Silicon Valley Bank, as administrative agent and collateral agent, dated December 28, 2021 (incorporated by reference to Exhibit 10.52 to the Registrant’s Annual Report on Form 10-K, SEC File No. 001-33038, filed March 30, 2022)</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Separation Agreement, dated as of December 22, 2023, between the Registrant and Kevin S. Boyle, Sr. (incorporated by reference to Exhibit 10.59 to the Registrant's Annual Report on Form 10-K, SEC File No. 001-33038, filed April 1, 2024)</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Consulting Agreement, dated as of December 22, 2023, between the Registrant and Kevin S. Boyle, Sr. (incorporated by reference to Exhibit 10.59 to the Registrant's Annual Report on Form 10-K, SEC File No. 001-33038, filed April 1, 2024)</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tcrt-ex10_39.htm">
              <w:r>
                <w:rPr>
                  <w:rStyle w:val="InternetLink"/>
                  <w:rFonts w:ascii="Times New Roman" w:hAnsi="Times New Roman"/>
                  <w:color w:val="0000FF"/>
                  <w:sz w:val="20"/>
                  <w:u w:val="single"/>
                </w:rPr>
                <w:t>Consulting Agreement, dated as of February 21, 2024, between the Registrant and Ferdinand Groenewald</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Termination of August 14, 2023 Engagement Letter between Cantor Fitzgerald &amp; Co (“Cantor”) and Alaunos Therapeutics, Inc. (incorporated by reference to Exhibit 10.1 to the Registrant’s Current Report on Form 8-K, SEC File No. 001-33038, filed January 8, 2026)</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tcrt-ex23_1.htm">
              <w:r>
                <w:rPr>
                  <w:rStyle w:val="InternetLink"/>
                  <w:rFonts w:ascii="Times New Roman" w:hAnsi="Times New Roman"/>
                  <w:color w:val="0000FF"/>
                  <w:sz w:val="20"/>
                  <w:u w:val="single"/>
                </w:rPr>
                <w:t>Consent of Independent Registered Public Accounting Firm</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tcrt-ex19_1.htm">
              <w:r>
                <w:rPr>
                  <w:rStyle w:val="InternetLink"/>
                  <w:rFonts w:ascii="Times New Roman" w:hAnsi="Times New Roman"/>
                  <w:color w:val="0000FF"/>
                  <w:sz w:val="20"/>
                  <w:u w:val="single"/>
                </w:rPr>
                <w:t>Insider Trading Policy</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9"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hyperlink w:anchor="tcrt-ex31_1.htm">
              <w:r>
                <w:rPr>
                  <w:rStyle w:val="InternetLink"/>
                  <w:rFonts w:ascii="Times New Roman" w:hAnsi="Times New Roman"/>
                  <w:color w:val="0000FF"/>
                  <w:sz w:val="20"/>
                  <w:u w:val="single"/>
                </w:rPr>
                <w:t>Certification of Principal Executive Officer and Principal Financial Officer pursuant to Exchange Act Rule 13a-14(a) or 15(d)-14(a), as adopted pursuant to Section 302 of the Sarbanes-Oxley Act of 2002</w:t>
              </w:r>
            </w:hyperlink>
          </w:p>
        </w:tc>
      </w:tr>
      <w:tr>
        <w:trPr/>
        <w:tc>
          <w:tcPr>
            <w:tcW w:w="75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0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0"/>
        <w:gridCol w:w="146"/>
        <w:gridCol w:w="9259"/>
      </w:tblGrid>
      <w:tr>
        <w:trPr/>
        <w:tc>
          <w:tcPr>
            <w:tcW w:w="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59" w:type="dxa"/>
            <w:tcBorders/>
            <w:vAlign w:val="center"/>
          </w:tcPr>
          <w:p>
            <w:pPr>
              <w:pStyle w:val="TableContents"/>
              <w:bidi w:val="0"/>
              <w:spacing w:before="0" w:after="283"/>
              <w:jc w:val="left"/>
              <w:rPr>
                <w:sz w:val="4"/>
                <w:szCs w:val="4"/>
              </w:rPr>
            </w:pPr>
            <w:r>
              <w:rPr>
                <w:sz w:val="4"/>
                <w:szCs w:val="4"/>
              </w:rPr>
            </w:r>
          </w:p>
        </w:tc>
      </w:tr>
      <w:tr>
        <w:trPr/>
        <w:tc>
          <w:tcPr>
            <w:tcW w:w="8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hyperlink w:anchor="tcrt-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8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Alaunos Therapeutics, Inc. Clawback Policy</w:t>
              </w:r>
            </w:hyperlink>
          </w:p>
        </w:tc>
      </w:tr>
      <w:tr>
        <w:trPr/>
        <w:tc>
          <w:tcPr>
            <w:tcW w:w="8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8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0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File-the cover page interactive data is embedded within the Inline XBRL document or included within the Exhibit 101 attachments</w:t>
            </w:r>
          </w:p>
        </w:tc>
      </w:tr>
      <w:tr>
        <w:trPr/>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herewith.</w:t>
            </w:r>
          </w:p>
        </w:tc>
      </w:tr>
      <w:tr>
        <w:trPr/>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Furnished herewith.</w:t>
            </w:r>
          </w:p>
        </w:tc>
      </w:tr>
      <w:tr>
        <w:trPr/>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Indicates management contract or compensatory plan.</w:t>
            </w:r>
          </w:p>
        </w:tc>
      </w:tr>
      <w:tr>
        <w:trPr/>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Confidential treatment has been granted by the Securities and Exchange Commission as to certain portions of this document.</w:t>
            </w:r>
          </w:p>
        </w:tc>
      </w:tr>
      <w:tr>
        <w:trPr/>
        <w:tc>
          <w:tcPr>
            <w:tcW w:w="80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0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document (indicated by “[***]”) have been omitted because such information is not material and is the type of information that the Registrant treats as private or confidential.</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bookmarkStart w:id="37" w:name="item_16_form_10k_summary"/>
      <w:bookmarkEnd w:id="37"/>
      <w:r>
        <w:rPr>
          <w:rFonts w:ascii="Times New Roman" w:hAnsi="Times New Roman"/>
          <w:b/>
          <w:i/>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signatures"/>
      <w:bookmarkEnd w:id="38"/>
      <w:r>
        <w:rPr>
          <w:rFonts w:ascii="Times New Roman" w:hAnsi="Times New Roman"/>
          <w:b/>
          <w:color w:val="000000"/>
          <w:sz w:val="20"/>
        </w:rPr>
        <w:t>SIGN</w:t>
      </w:r>
      <w:bookmarkStart w:id="39" w:name="power_of_attorney"/>
      <w:bookmarkEnd w:id="39"/>
      <w:r>
        <w:rPr>
          <w:rFonts w:ascii="Times New Roman" w:hAnsi="Times New Roman"/>
          <w:b/>
          <w:color w:val="000000"/>
          <w:sz w:val="20"/>
        </w:rPr>
        <w:t>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7604" w:type="dxa"/>
        <w:jc w:val="left"/>
        <w:tblInd w:w="0" w:type="dxa"/>
        <w:tblLayout w:type="fixed"/>
        <w:tblCellMar>
          <w:top w:w="28" w:type="dxa"/>
          <w:left w:w="28" w:type="dxa"/>
          <w:bottom w:w="28" w:type="dxa"/>
          <w:right w:w="28" w:type="dxa"/>
        </w:tblCellMar>
      </w:tblPr>
      <w:tblGrid>
        <w:gridCol w:w="1891"/>
        <w:gridCol w:w="146"/>
        <w:gridCol w:w="406"/>
        <w:gridCol w:w="516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6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ALAUNOS THERAPEUTICS,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Executive Officer and Director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 Principal Financial Officer)</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6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Ferdinand Groenewald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Ferdinand Groenewald</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Vice President, Finance</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1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74"/>
        <w:gridCol w:w="146"/>
        <w:gridCol w:w="6656"/>
        <w:gridCol w:w="146"/>
        <w:gridCol w:w="1283"/>
      </w:tblGrid>
      <w:tr>
        <w:trPr/>
        <w:tc>
          <w:tcPr>
            <w:tcW w:w="19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19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6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197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Chief Executive Officer and Director </w:t>
            </w:r>
            <w:r>
              <w:rPr>
                <w:rFonts w:ascii="Times New Roman" w:hAnsi="Times New Roman"/>
                <w:i/>
                <w:color w:val="000000"/>
                <w:sz w:val="20"/>
              </w:rPr>
              <w:t>(Principal Executive Officer and 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left"/>
              <w:rPr/>
            </w:pPr>
            <w:r>
              <w:rPr/>
              <w:t> </w:t>
            </w:r>
          </w:p>
        </w:tc>
      </w:tr>
      <w:tr>
        <w:trPr/>
        <w:tc>
          <w:tcPr>
            <w:tcW w:w="197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Ferdinand Groenewald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Ferdinand Groenewald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Vice President, Finance </w:t>
            </w:r>
            <w:r>
              <w:rPr>
                <w:rFonts w:ascii="Times New Roman" w:hAnsi="Times New Roman"/>
                <w:i/>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March 31, 2026</w:t>
            </w:r>
          </w:p>
          <w:p>
            <w:pPr>
              <w:pStyle w:val="TableContents"/>
              <w:bidi w:val="0"/>
              <w:spacing w:before="0" w:after="283"/>
              <w:jc w:val="left"/>
              <w:rPr/>
            </w:pPr>
            <w:r>
              <w:rPr/>
              <w:t> </w:t>
            </w:r>
          </w:p>
        </w:tc>
      </w:tr>
      <w:tr>
        <w:trPr/>
        <w:tc>
          <w:tcPr>
            <w:tcW w:w="1974"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Michael A. Jerman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Jerman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1974"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Robert W. Postma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W. Postma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r>
        <w:trPr/>
        <w:tc>
          <w:tcPr>
            <w:tcW w:w="1974" w:type="dxa"/>
            <w:tcBorders>
              <w:bottom w:val="single" w:sz="4" w:space="0" w:color="000000"/>
            </w:tcBorders>
            <w:tcMar>
              <w:top w:w="0" w:type="dxa"/>
              <w:left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 Jaime Vieser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Jaime Vieser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8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01" w:after="283"/>
        <w:jc w:val="center"/>
        <w:rPr>
          <w:rFonts w:ascii="Times New Roman" w:hAnsi="Times New Roman"/>
          <w:color w:val="000000"/>
          <w:sz w:val="18"/>
        </w:rPr>
      </w:pPr>
      <w:r>
        <w:rPr>
          <w:rFonts w:ascii="Times New Roman" w:hAnsi="Times New Roman"/>
          <w:color w:val="000000"/>
          <w:sz w:val="18"/>
        </w:rPr>
        <w:t>Alaunos Therapeutics, Inc.</w:t>
      </w:r>
    </w:p>
    <w:p>
      <w:pPr>
        <w:pStyle w:val="TextBody"/>
        <w:bidi w:val="0"/>
        <w:spacing w:before="216" w:after="283"/>
        <w:jc w:val="center"/>
        <w:rPr>
          <w:rFonts w:ascii="Times New Roman" w:hAnsi="Times New Roman"/>
          <w:b/>
          <w:color w:val="000000"/>
          <w:sz w:val="18"/>
        </w:rPr>
      </w:pPr>
      <w:bookmarkStart w:id="40" w:name="financial_statements"/>
      <w:bookmarkEnd w:id="40"/>
      <w:r>
        <w:rPr>
          <w:rFonts w:ascii="Times New Roman" w:hAnsi="Times New Roman"/>
          <w:b/>
          <w:color w:val="000000"/>
          <w:sz w:val="18"/>
        </w:rPr>
        <w:t>INDEX TO FINANCIAL STATEMENTS</w:t>
      </w:r>
    </w:p>
    <w:tbl>
      <w:tblPr>
        <w:tblW w:w="8225" w:type="dxa"/>
        <w:jc w:val="left"/>
        <w:tblInd w:w="0" w:type="dxa"/>
        <w:tblLayout w:type="fixed"/>
        <w:tblCellMar>
          <w:top w:w="28" w:type="dxa"/>
          <w:left w:w="28" w:type="dxa"/>
          <w:bottom w:w="28" w:type="dxa"/>
          <w:right w:w="28" w:type="dxa"/>
        </w:tblCellMar>
      </w:tblPr>
      <w:tblGrid>
        <w:gridCol w:w="7261"/>
        <w:gridCol w:w="146"/>
        <w:gridCol w:w="146"/>
        <w:gridCol w:w="361"/>
        <w:gridCol w:w="311"/>
      </w:tblGrid>
      <w:tr>
        <w:trPr/>
        <w:tc>
          <w:tcPr>
            <w:tcW w:w="7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Page</w:t>
            </w:r>
          </w:p>
        </w:tc>
        <w:tc>
          <w:tcPr>
            <w:tcW w:w="311" w:type="dxa"/>
            <w:tcBorders>
              <w:bottom w:val="single" w:sz="7" w:space="0" w:color="000000"/>
            </w:tcBorders>
            <w:tcMar>
              <w:top w:w="0" w:type="dxa"/>
              <w:left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report_of_independent">
              <w:r>
                <w:rPr>
                  <w:rStyle w:val="InternetLink"/>
                  <w:rFonts w:ascii="Times New Roman" w:hAnsi="Times New Roman"/>
                  <w:color w:val="0000FF"/>
                  <w:sz w:val="18"/>
                  <w:u w:val="single"/>
                </w:rPr>
                <w:t>Report of Independent Registered Public Accounting Firm</w:t>
              </w:r>
            </w:hyperlink>
            <w:r>
              <w:rPr>
                <w:rFonts w:ascii="Times New Roman" w:hAnsi="Times New Roman"/>
                <w:color w:val="000000"/>
                <w:sz w:val="18"/>
              </w:rPr>
              <w:t xml:space="preserve"> </w:t>
            </w:r>
            <w:r>
              <w:rPr>
                <w:rFonts w:ascii="Times New Roman" w:hAnsi="Times New Roman"/>
                <w:color w:val="0000FF"/>
                <w:sz w:val="18"/>
                <w:u w:val="single"/>
              </w:rPr>
              <w:t>(PCAOB ID: 00677)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F-1</w:t>
            </w:r>
          </w:p>
        </w:tc>
        <w:tc>
          <w:tcPr>
            <w:tcW w:w="31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balance_sheets">
              <w:r>
                <w:rPr>
                  <w:rStyle w:val="InternetLink"/>
                  <w:rFonts w:ascii="Times New Roman" w:hAnsi="Times New Roman"/>
                  <w:color w:val="0000FF"/>
                  <w:sz w:val="18"/>
                  <w:u w:val="single"/>
                </w:rPr>
                <w:t>Balance Sheets as of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F-2</w:t>
            </w:r>
          </w:p>
        </w:tc>
        <w:tc>
          <w:tcPr>
            <w:tcW w:w="31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statements_of_operations">
              <w:r>
                <w:rPr>
                  <w:rStyle w:val="InternetLink"/>
                  <w:rFonts w:ascii="Times New Roman" w:hAnsi="Times New Roman"/>
                  <w:color w:val="0000FF"/>
                  <w:sz w:val="18"/>
                  <w:u w:val="single"/>
                </w:rPr>
                <w:t>Statements of Operations for the Years Ended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F-3</w:t>
            </w:r>
          </w:p>
        </w:tc>
        <w:tc>
          <w:tcPr>
            <w:tcW w:w="31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stockholders_equity">
              <w:r>
                <w:rPr>
                  <w:rStyle w:val="InternetLink"/>
                  <w:rFonts w:ascii="Times New Roman" w:hAnsi="Times New Roman"/>
                  <w:color w:val="0000FF"/>
                  <w:sz w:val="18"/>
                  <w:u w:val="single"/>
                </w:rPr>
                <w:t>Statements of Changes in Stockholders’ Equity for the Years Ended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F-4</w:t>
            </w:r>
          </w:p>
        </w:tc>
        <w:tc>
          <w:tcPr>
            <w:tcW w:w="31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cash_flows">
              <w:r>
                <w:rPr>
                  <w:rStyle w:val="InternetLink"/>
                  <w:rFonts w:ascii="Times New Roman" w:hAnsi="Times New Roman"/>
                  <w:color w:val="0000FF"/>
                  <w:sz w:val="18"/>
                  <w:u w:val="single"/>
                </w:rPr>
                <w:t>Statements of Cash Flows for the Years Ended December 31, 2025 and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F-5</w:t>
            </w:r>
          </w:p>
        </w:tc>
        <w:tc>
          <w:tcPr>
            <w:tcW w:w="31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261" w:type="dxa"/>
            <w:tcBorders/>
            <w:tcMar>
              <w:top w:w="0" w:type="dxa"/>
              <w:left w:w="0" w:type="dxa"/>
              <w:bottom w:w="0" w:type="dxa"/>
              <w:right w:w="0" w:type="dxa"/>
            </w:tcMar>
            <w:vAlign w:val="center"/>
          </w:tcPr>
          <w:p>
            <w:pPr>
              <w:pStyle w:val="TableContents"/>
              <w:bidi w:val="0"/>
              <w:spacing w:before="0" w:after="283"/>
              <w:ind w:left="0" w:right="0" w:firstLine="180"/>
              <w:jc w:val="left"/>
              <w:rPr/>
            </w:pPr>
            <w:hyperlink w:anchor="notes_to_financial_statements">
              <w:r>
                <w:rPr>
                  <w:rStyle w:val="InternetLink"/>
                  <w:rFonts w:ascii="Times New Roman" w:hAnsi="Times New Roman"/>
                  <w:color w:val="0000FF"/>
                  <w:sz w:val="18"/>
                  <w:u w:val="single"/>
                </w:rPr>
                <w:t>Notes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F-6</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41" w:name="bkmk_180"/>
      <w:bookmarkEnd w:id="41"/>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2" w:name="report_of_independent"/>
      <w:bookmarkStart w:id="43" w:name="bkmk_141"/>
      <w:bookmarkEnd w:id="42"/>
      <w:bookmarkEnd w:id="43"/>
      <w:r>
        <w:rPr>
          <w:rFonts w:ascii="Times New Roman" w:hAnsi="Times New Roman"/>
          <w:b/>
          <w:color w:val="000000"/>
          <w:sz w:val="18"/>
        </w:rPr>
        <w:t>REPORT OF INDEPENDENT</w:t>
      </w:r>
      <w:r>
        <w:rPr>
          <w:rFonts w:ascii="Times New Roman" w:hAnsi="Times New Roman"/>
          <w:color w:val="000000"/>
          <w:sz w:val="20"/>
        </w:rPr>
        <w:t xml:space="preserve"> </w:t>
      </w:r>
      <w:r>
        <w:rPr>
          <w:rFonts w:ascii="Times New Roman" w:hAnsi="Times New Roman"/>
          <w:b/>
          <w:color w:val="000000"/>
          <w:sz w:val="18"/>
        </w:rPr>
        <w:t>REGISTERED PUBLIC ACCOUNTING FIRM</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To the Board of Directors and Stockholders</w:t>
      </w:r>
    </w:p>
    <w:p>
      <w:pPr>
        <w:pStyle w:val="TextBody"/>
        <w:bidi w:val="0"/>
        <w:jc w:val="left"/>
        <w:rPr>
          <w:rFonts w:ascii="Times New Roman" w:hAnsi="Times New Roman"/>
          <w:color w:val="000000"/>
          <w:sz w:val="18"/>
        </w:rPr>
      </w:pPr>
      <w:r>
        <w:rPr>
          <w:rFonts w:ascii="Times New Roman" w:hAnsi="Times New Roman"/>
          <w:color w:val="000000"/>
          <w:sz w:val="18"/>
        </w:rPr>
        <w:t>Alaunos Therapeutics, Inc.</w:t>
      </w:r>
    </w:p>
    <w:p>
      <w:pPr>
        <w:pStyle w:val="TextBody"/>
        <w:bidi w:val="0"/>
        <w:jc w:val="left"/>
        <w:rPr>
          <w:rFonts w:ascii="Times New Roman" w:hAnsi="Times New Roman"/>
          <w:color w:val="000000"/>
          <w:sz w:val="18"/>
        </w:rPr>
      </w:pPr>
      <w:r>
        <w:rPr>
          <w:rFonts w:ascii="Times New Roman" w:hAnsi="Times New Roman"/>
          <w:color w:val="000000"/>
          <w:sz w:val="18"/>
        </w:rPr>
        <w:t>Fort Lauderdale, Florida</w:t>
      </w:r>
    </w:p>
    <w:p>
      <w:pPr>
        <w:pStyle w:val="TextBody"/>
        <w:bidi w:val="0"/>
        <w:jc w:val="left"/>
        <w:rPr/>
      </w:pPr>
      <w:r>
        <w:rPr/>
        <w:t> </w:t>
      </w:r>
    </w:p>
    <w:p>
      <w:pPr>
        <w:pStyle w:val="TextBody"/>
        <w:bidi w:val="0"/>
        <w:jc w:val="both"/>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We have audited the accompanying balance sheet of Alaunos Therapeutics, Inc. (the “Company”) as of December 31, 2025, and the related statements of operations, stockholders’ equity, and cash flows the year ended December 31, 2025,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ended December 31, 2025, in conformity with accounting principles generally accepted in the United States of America.</w:t>
      </w:r>
    </w:p>
    <w:p>
      <w:pPr>
        <w:pStyle w:val="TextBody"/>
        <w:bidi w:val="0"/>
        <w:jc w:val="both"/>
        <w:rPr>
          <w:rFonts w:ascii="Times New Roman" w:hAnsi="Times New Roman"/>
          <w:color w:val="000000"/>
          <w:sz w:val="18"/>
        </w:rPr>
      </w:pPr>
      <w:r>
        <w:rPr>
          <w:rFonts w:ascii="Times New Roman" w:hAnsi="Times New Roman"/>
          <w:color w:val="000000"/>
          <w:sz w:val="18"/>
        </w:rPr>
        <w:t>The financial statements of the Company as of and for the year ended December 31, 2023, before the retroactive adjustments described in Note 3 with respect to the July 2024 one-for-ten reverse stock split were audited by other auditors whose report, dated April 1, 2024, expressed an unqualified opinion, with an explanatory paragraph expressing substantial doubt regarding the Company’s ability to continue as a going concern, on those statements. We also audited the adjustments described in Note 3 that were applied retroactively to the 2023 financial statements to reflect the July 2024 one-for-ten reverse stock split and the related disclosures included therein. In our opinion, such adjustments and related disclosures are appropriate and have been properly applied. We were not engaged to audit, review, or apply any procedures to the 2023 financial statements of the Company other than with respect to the adjustments and disclosures referred to herein and, accordingly, we do not express an opinion or any other form of assurance on the 2023 financial statements taken as a whole.</w:t>
      </w:r>
    </w:p>
    <w:p>
      <w:pPr>
        <w:pStyle w:val="TextBody"/>
        <w:bidi w:val="0"/>
        <w:jc w:val="left"/>
        <w:rPr>
          <w:rFonts w:ascii="Times New Roman" w:hAnsi="Times New Roman"/>
          <w:b/>
          <w:color w:val="000000"/>
          <w:sz w:val="18"/>
        </w:rPr>
      </w:pPr>
      <w:r>
        <w:rPr>
          <w:rFonts w:ascii="Times New Roman" w:hAnsi="Times New Roman"/>
          <w:b/>
          <w:color w:val="000000"/>
          <w:sz w:val="18"/>
        </w:rPr>
        <w:t>Substantial Doubt about the Company’s Ability to Continue as a Going Concern</w:t>
      </w:r>
    </w:p>
    <w:p>
      <w:pPr>
        <w:pStyle w:val="TextBody"/>
        <w:bidi w:val="0"/>
        <w:jc w:val="left"/>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 accompanying financial statements have been prepared assuming the Company will continue as a going concern. As discussed in Note 1 to the financial statements, the Company has recurring losses and negative cash flows from operations that raise substantial doubt about its ability to continue as a going concern. Management’s evaluations of the events and conditions and management’s plans regarding those matters are also described in Note 1. The financial statements do not include any adjustments that might result from the outcome of this uncertainty.</w:t>
      </w:r>
    </w:p>
    <w:p>
      <w:pPr>
        <w:pStyle w:val="TextBody"/>
        <w:bidi w:val="0"/>
        <w:jc w:val="both"/>
        <w:rPr>
          <w:rFonts w:ascii="Times New Roman" w:hAnsi="Times New Roman"/>
          <w:b/>
          <w:color w:val="000000"/>
          <w:sz w:val="18"/>
        </w:rPr>
      </w:pPr>
      <w:r>
        <w:rPr>
          <w:rFonts w:ascii="Times New Roman" w:hAnsi="Times New Roman"/>
          <w:b/>
          <w:color w:val="000000"/>
          <w:sz w:val="18"/>
        </w:rPr>
        <w:t>Basis for Opinion</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rFonts w:ascii="Times New Roman" w:hAnsi="Times New Roman"/>
          <w:color w:val="000000"/>
          <w:sz w:val="18"/>
        </w:rPr>
      </w:pPr>
      <w:r>
        <w:rPr>
          <w:rFonts w:ascii="Times New Roman" w:hAnsi="Times New Roman"/>
          <w:color w:val="000000"/>
          <w:sz w:val="18"/>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both"/>
        <w:rPr>
          <w:rFonts w:ascii="Times New Roman" w:hAnsi="Times New Roman"/>
          <w:color w:val="000000"/>
          <w:sz w:val="18"/>
        </w:rPr>
      </w:pPr>
      <w:r>
        <w:rPr>
          <w:rFonts w:ascii="Times New Roman" w:hAnsi="Times New Roman"/>
          <w:color w:val="000000"/>
          <w:sz w:val="18"/>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jc w:val="left"/>
        <w:rPr>
          <w:rFonts w:ascii="Times New Roman" w:hAnsi="Times New Roman"/>
          <w:b/>
          <w:color w:val="000000"/>
          <w:sz w:val="18"/>
        </w:rPr>
      </w:pPr>
      <w:r>
        <w:rPr>
          <w:rFonts w:ascii="Times New Roman" w:hAnsi="Times New Roman"/>
          <w:b/>
          <w:color w:val="000000"/>
          <w:sz w:val="18"/>
        </w:rPr>
        <w:t>Critical Audit Matters</w:t>
      </w:r>
    </w:p>
    <w:p>
      <w:pPr>
        <w:pStyle w:val="TextBody"/>
        <w:bidi w:val="0"/>
        <w:jc w:val="left"/>
        <w:rPr/>
      </w:pPr>
      <w:r>
        <w:rPr/>
        <w:t> </w:t>
      </w:r>
    </w:p>
    <w:p>
      <w:pPr>
        <w:pStyle w:val="TextBody"/>
        <w:bidi w:val="0"/>
        <w:jc w:val="both"/>
        <w:rPr>
          <w:rFonts w:ascii="Times New Roman" w:hAnsi="Times New Roman"/>
          <w:color w:val="212529"/>
          <w:sz w:val="18"/>
        </w:rPr>
      </w:pPr>
      <w:r>
        <w:rPr>
          <w:rFonts w:ascii="Times New Roman" w:hAnsi="Times New Roman"/>
          <w:color w:val="212529"/>
          <w:sz w:val="18"/>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pStyle w:val="TextBody"/>
        <w:bidi w:val="0"/>
        <w:jc w:val="left"/>
        <w:rPr>
          <w:rFonts w:ascii="Times New Roman" w:hAnsi="Times New Roman"/>
          <w:color w:val="000000"/>
          <w:sz w:val="18"/>
        </w:rPr>
      </w:pPr>
      <w:r>
        <w:rPr>
          <w:rFonts w:ascii="Times New Roman" w:hAnsi="Times New Roman"/>
          <w:color w:val="000000"/>
          <w:sz w:val="18"/>
        </w:rPr>
        <w:t>/s/ Cherry Bekaert LLP</w:t>
      </w:r>
    </w:p>
    <w:p>
      <w:pPr>
        <w:pStyle w:val="TextBody"/>
        <w:bidi w:val="0"/>
        <w:jc w:val="both"/>
        <w:rPr>
          <w:rFonts w:ascii="Times New Roman" w:hAnsi="Times New Roman"/>
          <w:color w:val="000000"/>
          <w:sz w:val="18"/>
        </w:rPr>
      </w:pPr>
      <w:r>
        <w:rPr>
          <w:rFonts w:ascii="Times New Roman" w:hAnsi="Times New Roman"/>
          <w:color w:val="000000"/>
          <w:sz w:val="18"/>
        </w:rPr>
        <w:t>We have served as the Company’s auditor since 2024.</w:t>
      </w:r>
    </w:p>
    <w:p>
      <w:pPr>
        <w:pStyle w:val="TextBody"/>
        <w:bidi w:val="0"/>
        <w:jc w:val="both"/>
        <w:rPr>
          <w:rFonts w:ascii="Times New Roman" w:hAnsi="Times New Roman"/>
          <w:color w:val="000000"/>
          <w:sz w:val="18"/>
        </w:rPr>
      </w:pPr>
      <w:r>
        <w:rPr>
          <w:rFonts w:ascii="Times New Roman" w:hAnsi="Times New Roman"/>
          <w:color w:val="000000"/>
          <w:sz w:val="18"/>
        </w:rPr>
        <w:t>Tampa, Florida</w:t>
      </w:r>
    </w:p>
    <w:p>
      <w:pPr>
        <w:pStyle w:val="TextBody"/>
        <w:bidi w:val="0"/>
        <w:jc w:val="both"/>
        <w:rPr>
          <w:rFonts w:ascii="Times New Roman" w:hAnsi="Times New Roman"/>
          <w:color w:val="000000"/>
          <w:sz w:val="18"/>
        </w:rPr>
      </w:pPr>
      <w:r>
        <w:rPr>
          <w:rFonts w:ascii="Times New Roman" w:hAnsi="Times New Roman"/>
          <w:color w:val="000000"/>
          <w:sz w:val="18"/>
        </w:rPr>
        <w:t>March 31, 2026</w:t>
      </w:r>
    </w:p>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4" w:name="bkmk_188"/>
      <w:bookmarkEnd w:id="44"/>
      <w:r>
        <w:rPr>
          <w:rFonts w:ascii="Times New Roman" w:hAnsi="Times New Roman"/>
          <w:b/>
          <w:color w:val="000000"/>
          <w:sz w:val="18"/>
        </w:rPr>
        <w:t>Alaunos Therapeutics, Inc.</w:t>
      </w:r>
    </w:p>
    <w:p>
      <w:pPr>
        <w:pStyle w:val="TextBody"/>
        <w:bidi w:val="0"/>
        <w:spacing w:before="108" w:after="283"/>
        <w:jc w:val="center"/>
        <w:rPr>
          <w:rFonts w:ascii="Times New Roman" w:hAnsi="Times New Roman"/>
          <w:b/>
          <w:color w:val="000000"/>
          <w:sz w:val="18"/>
        </w:rPr>
      </w:pPr>
      <w:bookmarkStart w:id="45" w:name="balance_sheets"/>
      <w:bookmarkStart w:id="46" w:name="bkmk_142"/>
      <w:bookmarkEnd w:id="45"/>
      <w:bookmarkEnd w:id="46"/>
      <w:r>
        <w:rPr>
          <w:rFonts w:ascii="Times New Roman" w:hAnsi="Times New Roman"/>
          <w:b/>
          <w:color w:val="000000"/>
          <w:sz w:val="18"/>
        </w:rPr>
        <w:t>BALANCE SHEETS</w:t>
      </w:r>
    </w:p>
    <w:p>
      <w:pPr>
        <w:pStyle w:val="TextBody"/>
        <w:bidi w:val="0"/>
        <w:spacing w:before="108" w:after="283"/>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22"/>
        <w:gridCol w:w="146"/>
        <w:gridCol w:w="213"/>
        <w:gridCol w:w="852"/>
        <w:gridCol w:w="166"/>
        <w:gridCol w:w="146"/>
        <w:gridCol w:w="213"/>
        <w:gridCol w:w="852"/>
        <w:gridCol w:w="1195"/>
      </w:tblGrid>
      <w:tr>
        <w:trPr/>
        <w:tc>
          <w:tcPr>
            <w:tcW w:w="6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 non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10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A-1 preferred stock $0.001 par value; 1,000 shares authorized, 500 and 0 shares issued and outstanding at December 31, 2025 and at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Series A-2 preferred stock $0.001 par value; 1,000 shares authorized, 850 and 0 shares issued and outstanding at December 31, 2025 and at December 31,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1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50,000,000 shares authorized, 2,349,480 and 1,601,252 shares issued and outstanding at December 31, 2025 and at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922,507</w:t>
            </w:r>
          </w:p>
        </w:tc>
        <w:tc>
          <w:tcPr>
            <w:tcW w:w="1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(920,446</w:t>
            </w:r>
          </w:p>
        </w:tc>
        <w:tc>
          <w:tcPr>
            <w:tcW w:w="11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4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1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422"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w:t>
            </w:r>
          </w:p>
        </w:tc>
        <w:tc>
          <w:tcPr>
            <w:tcW w:w="1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financial statements.</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7" w:name="bkmk_191"/>
      <w:bookmarkEnd w:id="47"/>
      <w:r>
        <w:rPr>
          <w:rFonts w:ascii="Times New Roman" w:hAnsi="Times New Roman"/>
          <w:b/>
          <w:color w:val="000000"/>
          <w:sz w:val="18"/>
        </w:rPr>
        <w:t>Alaunos Therapeutics, Inc.</w:t>
      </w:r>
    </w:p>
    <w:p>
      <w:pPr>
        <w:pStyle w:val="TextBody"/>
        <w:bidi w:val="0"/>
        <w:spacing w:before="108" w:after="283"/>
        <w:jc w:val="center"/>
        <w:rPr>
          <w:rFonts w:ascii="Times New Roman" w:hAnsi="Times New Roman"/>
          <w:b/>
          <w:color w:val="000000"/>
          <w:sz w:val="18"/>
        </w:rPr>
      </w:pPr>
      <w:bookmarkStart w:id="48" w:name="bkmk_143"/>
      <w:bookmarkStart w:id="49" w:name="statements_of_operations"/>
      <w:bookmarkEnd w:id="48"/>
      <w:bookmarkEnd w:id="49"/>
      <w:r>
        <w:rPr>
          <w:rFonts w:ascii="Times New Roman" w:hAnsi="Times New Roman"/>
          <w:b/>
          <w:color w:val="000000"/>
          <w:sz w:val="18"/>
        </w:rPr>
        <w:t>STATEMENTS OF OPERATIONS</w:t>
      </w:r>
    </w:p>
    <w:p>
      <w:pPr>
        <w:pStyle w:val="TextBody"/>
        <w:bidi w:val="0"/>
        <w:spacing w:before="108" w:after="283"/>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tbl>
      <w:tblPr>
        <w:tblW w:w="9119" w:type="dxa"/>
        <w:jc w:val="left"/>
        <w:tblInd w:w="0" w:type="dxa"/>
        <w:tblLayout w:type="fixed"/>
        <w:tblCellMar>
          <w:top w:w="28" w:type="dxa"/>
          <w:left w:w="28" w:type="dxa"/>
          <w:bottom w:w="28" w:type="dxa"/>
          <w:right w:w="28" w:type="dxa"/>
        </w:tblCellMar>
      </w:tblPr>
      <w:tblGrid>
        <w:gridCol w:w="5586"/>
        <w:gridCol w:w="146"/>
        <w:gridCol w:w="211"/>
        <w:gridCol w:w="931"/>
        <w:gridCol w:w="166"/>
        <w:gridCol w:w="146"/>
        <w:gridCol w:w="211"/>
        <w:gridCol w:w="931"/>
        <w:gridCol w:w="791"/>
      </w:tblGrid>
      <w:tr>
        <w:trPr/>
        <w:tc>
          <w:tcPr>
            <w:tcW w:w="5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earnings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financial statements.</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50" w:name="bkmk_193"/>
      <w:bookmarkEnd w:id="50"/>
      <w:r>
        <w:rPr>
          <w:rFonts w:ascii="Times New Roman" w:hAnsi="Times New Roman"/>
          <w:b/>
          <w:color w:val="000000"/>
          <w:sz w:val="18"/>
        </w:rPr>
        <w:t>Alaunos Therapeutics, Inc.</w:t>
      </w:r>
    </w:p>
    <w:p>
      <w:pPr>
        <w:pStyle w:val="TextBody"/>
        <w:bidi w:val="0"/>
        <w:spacing w:before="108" w:after="283"/>
        <w:jc w:val="center"/>
        <w:rPr>
          <w:rFonts w:ascii="Times New Roman" w:hAnsi="Times New Roman"/>
          <w:sz w:val="20"/>
        </w:rPr>
      </w:pPr>
      <w:bookmarkStart w:id="51" w:name="bkmk_144"/>
      <w:bookmarkEnd w:id="51"/>
      <w:r>
        <w:rPr>
          <w:rFonts w:ascii="Times New Roman" w:hAnsi="Times New Roman"/>
          <w:b/>
          <w:color w:val="000000"/>
          <w:sz w:val="18"/>
        </w:rPr>
        <w:t xml:space="preserve">STATEMENTS OF CHANGES IN </w:t>
      </w:r>
      <w:bookmarkStart w:id="52" w:name="stockholders_equity"/>
      <w:bookmarkEnd w:id="52"/>
      <w:r>
        <w:rPr>
          <w:rFonts w:ascii="Times New Roman" w:hAnsi="Times New Roman"/>
          <w:b/>
          <w:color w:val="000000"/>
          <w:sz w:val="18"/>
        </w:rPr>
        <w:t>STOCKHOLDERS’ EQUITY</w:t>
      </w:r>
    </w:p>
    <w:p>
      <w:pPr>
        <w:pStyle w:val="TextBody"/>
        <w:bidi w:val="0"/>
        <w:spacing w:before="108" w:after="283"/>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jc w:val="center"/>
        <w:rPr/>
      </w:pPr>
      <w:r>
        <w:rPr/>
        <w:t> </w:t>
      </w:r>
    </w:p>
    <w:tbl>
      <w:tblPr>
        <w:tblW w:w="11586" w:type="dxa"/>
        <w:jc w:val="left"/>
        <w:tblInd w:w="0" w:type="dxa"/>
        <w:tblLayout w:type="fixed"/>
        <w:tblCellMar>
          <w:top w:w="28" w:type="dxa"/>
          <w:left w:w="28" w:type="dxa"/>
          <w:bottom w:w="28" w:type="dxa"/>
          <w:right w:w="28" w:type="dxa"/>
        </w:tblCellMar>
      </w:tblPr>
      <w:tblGrid>
        <w:gridCol w:w="1426"/>
        <w:gridCol w:w="146"/>
        <w:gridCol w:w="146"/>
        <w:gridCol w:w="931"/>
        <w:gridCol w:w="146"/>
        <w:gridCol w:w="146"/>
        <w:gridCol w:w="261"/>
        <w:gridCol w:w="430"/>
        <w:gridCol w:w="146"/>
        <w:gridCol w:w="146"/>
        <w:gridCol w:w="165"/>
        <w:gridCol w:w="421"/>
        <w:gridCol w:w="146"/>
        <w:gridCol w:w="146"/>
        <w:gridCol w:w="304"/>
        <w:gridCol w:w="387"/>
        <w:gridCol w:w="146"/>
        <w:gridCol w:w="146"/>
        <w:gridCol w:w="165"/>
        <w:gridCol w:w="421"/>
        <w:gridCol w:w="146"/>
        <w:gridCol w:w="146"/>
        <w:gridCol w:w="304"/>
        <w:gridCol w:w="387"/>
        <w:gridCol w:w="146"/>
        <w:gridCol w:w="146"/>
        <w:gridCol w:w="211"/>
        <w:gridCol w:w="781"/>
        <w:gridCol w:w="146"/>
        <w:gridCol w:w="146"/>
        <w:gridCol w:w="211"/>
        <w:gridCol w:w="841"/>
        <w:gridCol w:w="166"/>
        <w:gridCol w:w="146"/>
        <w:gridCol w:w="270"/>
        <w:gridCol w:w="811"/>
        <w:gridCol w:w="2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A-1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Series A-2 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as consideration for board service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issued as consideration for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common stock in registered direct offering,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Issuance of prefunded warrants in registered direct offering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 of Warrant Liability to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 of 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2,349,480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(924,622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70"/>
        <w:gridCol w:w="146"/>
        <w:gridCol w:w="146"/>
        <w:gridCol w:w="931"/>
        <w:gridCol w:w="146"/>
        <w:gridCol w:w="146"/>
        <w:gridCol w:w="261"/>
        <w:gridCol w:w="430"/>
        <w:gridCol w:w="146"/>
        <w:gridCol w:w="146"/>
        <w:gridCol w:w="348"/>
        <w:gridCol w:w="1293"/>
        <w:gridCol w:w="146"/>
        <w:gridCol w:w="146"/>
        <w:gridCol w:w="278"/>
        <w:gridCol w:w="1107"/>
        <w:gridCol w:w="166"/>
        <w:gridCol w:w="146"/>
        <w:gridCol w:w="422"/>
        <w:gridCol w:w="1270"/>
        <w:gridCol w:w="215"/>
      </w:tblGrid>
      <w:tr>
        <w:trPr/>
        <w:tc>
          <w:tcPr>
            <w:tcW w:w="2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 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January 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1,601,252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922,507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(920,446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financial statements.</w:t>
      </w:r>
    </w:p>
    <w:p>
      <w:pPr>
        <w:pStyle w:val="TextBody"/>
        <w:bidi w:val="0"/>
        <w:jc w:val="left"/>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53" w:name="bkmk_200"/>
      <w:bookmarkEnd w:id="53"/>
      <w:r>
        <w:rPr>
          <w:rFonts w:ascii="Times New Roman" w:hAnsi="Times New Roman"/>
          <w:b/>
          <w:color w:val="000000"/>
          <w:sz w:val="18"/>
        </w:rPr>
        <w:t>Alaunos Therapeutics, Inc.</w:t>
      </w:r>
    </w:p>
    <w:p>
      <w:pPr>
        <w:pStyle w:val="TextBody"/>
        <w:bidi w:val="0"/>
        <w:spacing w:before="108" w:after="283"/>
        <w:jc w:val="center"/>
        <w:rPr>
          <w:rFonts w:ascii="Times New Roman" w:hAnsi="Times New Roman"/>
          <w:sz w:val="20"/>
        </w:rPr>
      </w:pPr>
      <w:bookmarkStart w:id="54" w:name="bkmk_145"/>
      <w:bookmarkEnd w:id="54"/>
      <w:r>
        <w:rPr>
          <w:rFonts w:ascii="Times New Roman" w:hAnsi="Times New Roman"/>
          <w:b/>
          <w:color w:val="000000"/>
          <w:sz w:val="18"/>
        </w:rPr>
        <w:t xml:space="preserve">STATEMENTS OF </w:t>
      </w:r>
      <w:bookmarkStart w:id="55" w:name="cash_flows"/>
      <w:bookmarkEnd w:id="55"/>
      <w:r>
        <w:rPr>
          <w:rFonts w:ascii="Times New Roman" w:hAnsi="Times New Roman"/>
          <w:b/>
          <w:color w:val="000000"/>
          <w:sz w:val="18"/>
        </w:rPr>
        <w:t>CASH FLOWS</w:t>
      </w:r>
    </w:p>
    <w:p>
      <w:pPr>
        <w:pStyle w:val="TextBody"/>
        <w:bidi w:val="0"/>
        <w:spacing w:before="108" w:after="283"/>
        <w:jc w:val="center"/>
        <w:rPr>
          <w:rFonts w:ascii="Times New Roman" w:hAnsi="Times New Roman"/>
          <w:b/>
          <w:color w:val="000000"/>
          <w:sz w:val="18"/>
        </w:rPr>
      </w:pPr>
      <w:r>
        <w:rPr>
          <w:rFonts w:ascii="Times New Roman" w:hAnsi="Times New Roman"/>
          <w:b/>
          <w:color w:val="000000"/>
          <w:sz w:val="18"/>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3"/>
        <w:gridCol w:w="146"/>
        <w:gridCol w:w="259"/>
        <w:gridCol w:w="776"/>
        <w:gridCol w:w="203"/>
        <w:gridCol w:w="179"/>
        <w:gridCol w:w="259"/>
        <w:gridCol w:w="776"/>
        <w:gridCol w:w="1014"/>
      </w:tblGrid>
      <w:tr>
        <w:trPr/>
        <w:tc>
          <w:tcPr>
            <w:tcW w:w="6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Common stock issued for services rendered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2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7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0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and pre funded warrants,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sale of 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3,261</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(4,971</w:t>
            </w:r>
          </w:p>
        </w:tc>
        <w:tc>
          <w:tcPr>
            <w:tcW w:w="10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Supplementary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Noncash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Recognition of warrant liability in connection with the equity line of credit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accrued expenses and accounts payable related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The accompanying notes are an integral part of these financial statements.</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56" w:name="bkmk_202"/>
      <w:bookmarkEnd w:id="56"/>
      <w:r>
        <w:rPr>
          <w:rFonts w:ascii="Times New Roman" w:hAnsi="Times New Roman"/>
          <w:b/>
          <w:color w:val="000000"/>
          <w:sz w:val="20"/>
        </w:rPr>
        <w:t>Alaunos Therapeutics, Inc.</w:t>
      </w:r>
    </w:p>
    <w:p>
      <w:pPr>
        <w:pStyle w:val="TextBody"/>
        <w:bidi w:val="0"/>
        <w:spacing w:before="220" w:after="283"/>
        <w:jc w:val="center"/>
        <w:rPr>
          <w:rFonts w:ascii="Times New Roman" w:hAnsi="Times New Roman"/>
          <w:b/>
          <w:color w:val="000000"/>
          <w:sz w:val="20"/>
        </w:rPr>
      </w:pPr>
      <w:bookmarkStart w:id="57" w:name="bkmk_146"/>
      <w:bookmarkStart w:id="58" w:name="notes_to_financial_statements"/>
      <w:bookmarkEnd w:id="57"/>
      <w:bookmarkEnd w:id="58"/>
      <w:r>
        <w:rPr>
          <w:rFonts w:ascii="Times New Roman" w:hAnsi="Times New Roman"/>
          <w:b/>
          <w:color w:val="000000"/>
          <w:sz w:val="20"/>
        </w:rPr>
        <w:t>NOTES TO FINANCIAL STATEMENTS</w:t>
      </w:r>
    </w:p>
    <w:p>
      <w:pPr>
        <w:pStyle w:val="TextBody"/>
        <w:bidi w:val="0"/>
        <w:spacing w:before="108" w:after="283"/>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Alaunos Therapeutics, Inc., which is referred to herein as “Alaunos,” or the “Company,” is a pre-clinical stage obesity and metabolic disorders company with a current focus on developing oral small molecules for obesity and other metabolic disorders. The Company was historically involved in the development of adoptive TCR therapies, designed to treat multiple solid tumor types in large cancer patient populations with unmet clinical needs.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operations to date have consisted primarily of conducting research and development and raising capital to fund those efforts.</w:t>
      </w:r>
    </w:p>
    <w:p>
      <w:pPr>
        <w:pStyle w:val="TextBody"/>
        <w:bidi w:val="0"/>
        <w:spacing w:before="120" w:after="283"/>
        <w:jc w:val="both"/>
        <w:rPr>
          <w:rFonts w:ascii="Times New Roman" w:hAnsi="Times New Roman"/>
          <w:sz w:val="20"/>
        </w:rPr>
      </w:pPr>
      <w:r>
        <w:rPr>
          <w:rFonts w:ascii="Times New Roman" w:hAnsi="Times New Roman"/>
          <w:color w:val="000000"/>
          <w:sz w:val="20"/>
        </w:rPr>
        <w:t>As of December 31, 2025 there were 2,349,480</w:t>
      </w:r>
      <w:r>
        <w:rPr>
          <w:rFonts w:ascii="Times New Roman" w:hAnsi="Times New Roman"/>
          <w:color w:val="FF0000"/>
          <w:sz w:val="20"/>
        </w:rPr>
        <w:t xml:space="preserve"> </w:t>
      </w:r>
      <w:r>
        <w:rPr>
          <w:rFonts w:ascii="Times New Roman" w:hAnsi="Times New Roman"/>
          <w:color w:val="000000"/>
          <w:sz w:val="20"/>
        </w:rPr>
        <w:t>shares of common stock outstanding and an additional 328,937 shares of common stock reserved for issuance pursuant to outstanding stock options and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financial statements have been prepared on a going concern basis, which contemplates the realization of assets and satisfaction of liabilities and commitments in the normal course of business.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operated at a loss since its inception in 2003 and has minimal recurring revenue from operations. The Company anticipates that losses will continue for the foreseeable future. As of December 31, 2025, the Company had approximately $1.4 million of cash and cash equivalents. The Company’s accumulated deficit at December 31, 2025 was approximately $924.6 million. Given its current development plans and cash management efforts, the Company anticipates cash resources will be sufficient to fund operations into the second quarter of 2026. The Company’s ability to continue operations after its current cash resources are exhausted depends on future events including its ability to obtain additional financing or to achieve profitable results, as to which no assurances can be given. If adequate additional funds are not available when required, management may need to curtail its development efforts and planned operations to conserve cash until sufficient additional capital is raised. There can be no assurances that such a plan would be 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the current cash forecast and the Company's dependence on its ability to obtain additional financing to fund its operations after the current resources are exhausted, about which there can be no certainty, management has determined that the Company's present capital resources will not be sufficient to fund its planned operations for at least one year from the issuance date of the financial statements which raises substantial doubt as to the Company's ability to continue as a going concern. This forecast of cash resources is forward-looking information that involves risks and uncertainties, and the actual amount of expenses could vary materially and adversely as a result of a number of factors. </w:t>
      </w:r>
    </w:p>
    <w:p>
      <w:pPr>
        <w:pStyle w:val="TextBody"/>
        <w:bidi w:val="0"/>
        <w:spacing w:before="120" w:after="283"/>
        <w:jc w:val="both"/>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F-6</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accompanying financial statements have been prepared in accordance with accounting principles generally accepted in the United States of America </w:t>
      </w:r>
      <w:r>
        <w:rPr>
          <w:rFonts w:ascii="Segoe UI;sans-serif" w:hAnsi="Segoe UI;sans-serif"/>
          <w:color w:val="000000"/>
          <w:sz w:val="18"/>
        </w:rPr>
        <w:t>(“U.S. GAAP”)</w:t>
      </w:r>
      <w:r>
        <w:rPr>
          <w:rFonts w:ascii="Times New Roman" w:hAnsi="Times New Roman"/>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revenue and expenses during the reporting period. Although the Company regularly assesses these estimates, actual results could differ from those estimates. Changes in estimates are recorded in the period in which they become known.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most significant estimates and judgments used in the preparation of the financial statements are: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 expenses and other research and development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Collaboration agreements;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Fair value measurements of 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equivalents consist primarily of demand deposit accounts, certificates of deposit and deposits in short-term U.S. treasury money market mutual funds. Cash equivalents are stated at cost, which approximates fair market value.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Concentrations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cash and cash equivalents. The Company maintains cash accounts in commercial banks, which may, at times, exceed federally insured limits. The Company has not experienced any losses in such accounts. The Company believes it is not exposed to any significant credit risk on cash and cash equivalents.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stated at cost, less accumulated depreciation and amortization. Depreciation and amortization is calculated on a straight-line basis using the following periods, which represent the estimated useful lives of the assets:</w:t>
      </w:r>
    </w:p>
    <w:tbl>
      <w:tblPr>
        <w:tblW w:w="3553" w:type="dxa"/>
        <w:jc w:val="left"/>
        <w:tblInd w:w="0" w:type="dxa"/>
        <w:tblLayout w:type="fixed"/>
        <w:tblCellMar>
          <w:top w:w="28" w:type="dxa"/>
          <w:left w:w="28" w:type="dxa"/>
          <w:bottom w:w="28" w:type="dxa"/>
          <w:right w:w="28" w:type="dxa"/>
        </w:tblCellMar>
      </w:tblPr>
      <w:tblGrid>
        <w:gridCol w:w="2686"/>
        <w:gridCol w:w="146"/>
        <w:gridCol w:w="72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 years</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 years</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Operating Segments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Operating segments are identified as components of an enterprise for which separate discrete financial information is available for evaluation by the Company’s chief operating decision maker (“CODM”) and relied upon when making decisions regarding resource allocation and assessing performance. When evaluating the Company’s financial performance, the CODM reviews total revenues, total expenses, and expenses by functional classification; using this information to make decisions on a company-wide basis. The Company views its operations and manages its business in one operating segment.</w:t>
      </w:r>
    </w:p>
    <w:p>
      <w:pPr>
        <w:pStyle w:val="TextBody"/>
        <w:bidi w:val="0"/>
        <w:spacing w:before="240" w:after="283"/>
        <w:jc w:val="both"/>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F-7</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assesses whether warrants issued require accounting as derivatives. The Company determined that the warrants were (1) indexed to the Company’s own stock and (2) classified in stockholders’ equity in accordance with Financial Accounting Standards Board, or FASB, ASC Topic 815, </w:t>
      </w:r>
      <w:r>
        <w:rPr>
          <w:rFonts w:ascii="Times New Roman" w:hAnsi="Times New Roman"/>
          <w:i/>
          <w:color w:val="000000"/>
          <w:sz w:val="20"/>
        </w:rPr>
        <w:t>Derivatives and Hedging</w:t>
      </w:r>
      <w:r>
        <w:rPr>
          <w:rFonts w:ascii="Times New Roman" w:hAnsi="Times New Roman"/>
          <w:color w:val="000000"/>
          <w:sz w:val="20"/>
        </w:rPr>
        <w:t>. As such, the Company has concluded the warrants meet the scope exception for determining whether the instruments require accounting as derivatives and should be classified in stockholders’ equity.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Derivative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applicable accounting standards, upon issuance of financial instruments, whether stand alone or embedded, the Company performs an analysis to determine the appropriate classification of the financial instrument as either a derivative liability, or if certain conditions are met, as equity. Derivative liabilities are initially recorded at fair value and subsequently remeasures the derivative liability at each reporting period with changes in fair value recognized in earnings. The Company continually evaluates the classification and if the terms of the agreement are modified, the Company performs an assessment of the impact. Upon modification, if the instrument qualifies for equity classification, at that time it is remeasured at fair value, with changes in fair value since last measurement recognized in earnings and thereafter the balance is reclassified at its then fair value to equity. During the year ended December 31, 2025, the Company determined that certain warrants initially qualified as derivative liabilities. Such warrants were subsequently modified at which point the warrants qualified for equity classification. See further discussion in Note 9 - Warrants.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Fair Value Measurements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certain financial assets and liabilities recorded at fair value which have been classified as Level 1, 2 or 3 within the fair value hierarchy as described in the accounting standards for fair value measurements.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Assets and liabilities measured at fair value on a recurring and nonrecurring basis as of December 31, 2025 and 2024 are as follows:</w:t>
      </w:r>
    </w:p>
    <w:p>
      <w:pPr>
        <w:pStyle w:val="TextBody"/>
        <w:bidi w:val="0"/>
        <w:spacing w:before="120" w:after="283"/>
        <w:jc w:val="both"/>
        <w:rPr/>
      </w:pPr>
      <w:r>
        <w:rPr/>
        <w:t> </w:t>
      </w:r>
    </w:p>
    <w:tbl>
      <w:tblPr>
        <w:tblW w:w="7460" w:type="dxa"/>
        <w:jc w:val="left"/>
        <w:tblInd w:w="0" w:type="dxa"/>
        <w:tblLayout w:type="fixed"/>
        <w:tblCellMar>
          <w:top w:w="28" w:type="dxa"/>
          <w:left w:w="28" w:type="dxa"/>
          <w:bottom w:w="28" w:type="dxa"/>
          <w:right w:w="28" w:type="dxa"/>
        </w:tblCellMar>
      </w:tblPr>
      <w:tblGrid>
        <w:gridCol w:w="1516"/>
        <w:gridCol w:w="146"/>
        <w:gridCol w:w="294"/>
        <w:gridCol w:w="801"/>
        <w:gridCol w:w="146"/>
        <w:gridCol w:w="146"/>
        <w:gridCol w:w="351"/>
        <w:gridCol w:w="954"/>
        <w:gridCol w:w="222"/>
        <w:gridCol w:w="222"/>
        <w:gridCol w:w="352"/>
        <w:gridCol w:w="579"/>
        <w:gridCol w:w="222"/>
        <w:gridCol w:w="222"/>
        <w:gridCol w:w="415"/>
        <w:gridCol w:w="6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w:t>
              <w:b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for Identical</w:t>
              <w:br/>
              <w:t>Assets/Liabilities</w:t>
              <w:br/>
              <w:t>(Level 1)</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7516" w:type="dxa"/>
        <w:jc w:val="left"/>
        <w:tblInd w:w="0" w:type="dxa"/>
        <w:tblLayout w:type="fixed"/>
        <w:tblCellMar>
          <w:top w:w="28" w:type="dxa"/>
          <w:left w:w="28" w:type="dxa"/>
          <w:bottom w:w="28" w:type="dxa"/>
          <w:right w:w="28" w:type="dxa"/>
        </w:tblCellMar>
      </w:tblPr>
      <w:tblGrid>
        <w:gridCol w:w="1516"/>
        <w:gridCol w:w="146"/>
        <w:gridCol w:w="364"/>
        <w:gridCol w:w="731"/>
        <w:gridCol w:w="146"/>
        <w:gridCol w:w="146"/>
        <w:gridCol w:w="435"/>
        <w:gridCol w:w="870"/>
        <w:gridCol w:w="236"/>
        <w:gridCol w:w="236"/>
        <w:gridCol w:w="352"/>
        <w:gridCol w:w="579"/>
        <w:gridCol w:w="236"/>
        <w:gridCol w:w="236"/>
        <w:gridCol w:w="415"/>
        <w:gridCol w:w="681"/>
        <w:gridCol w:w="191"/>
      </w:tblGrid>
      <w:tr>
        <w:trPr/>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 Reporting Date Using</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as of</w:t>
              <w:b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w:t>
              <w:br/>
              <w:t>Active Markets</w:t>
              <w:br/>
              <w:t>for Identical</w:t>
              <w:br/>
              <w:t>Assets/Liabilities</w:t>
              <w:br/>
              <w:t>(Level 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The cash equivalents represent demand deposit accounts and deposits in a short-term United States treasury money market mutual fund quoted in an active market and classified as a Level 1 asset. There have been no changes to the valuation methods during the years ended December 31, 2025 and 2024.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F-8</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Revenue Recognition from Collaboration Agreements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Revenue for the year ended December 31, 2025 consisted of $5 and for the year ended December 31, 2024 consisted of $10. For the years ended December 31, 2025 and 2024, the Company recognized revenue through its Collaboration Agreement with Solasia Pharma K.K. primarily due to the achievement of milestones, as further described in Note 5, </w:t>
      </w:r>
      <w:r>
        <w:rPr>
          <w:rFonts w:ascii="Times New Roman" w:hAnsi="Times New Roman"/>
          <w:i/>
          <w:color w:val="000000"/>
          <w:sz w:val="20"/>
        </w:rPr>
        <w:t>Commitments and Contingencies.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Research and development expenses are recognized as incurred. The Company is required to estimate accrued research and development expenses as of each balance sheet date based on the facts and circumstances known at that time. This process includes reviewing open contracts and purchase orders, communicating with internal personnel and third-party service providers, and estimating the amount of services performed and the related costs incurred for which invoices have not yet been received.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Company’s research and development activities are primarily related to its preclinical obesity and metabolic disorders program, including the development of oral small molecules for obesity and other metabolic disorders. The Company also incurs limited costs related to its historical oncology focused cell therapy programs.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Estimated accrued research and development expenses primarily include amounts due to third-party vendors supporting preclinical development, manufacturing, regulatory, and other research and development activities. The Company records accruals based on its estimates of the services received and efforts expended under contractual arrangements. Certain agreements may involve milestone-based or uneven payment terms, and payments to vendors may, at times, exceed the level of services provided as of the reporting date, resulting in prepaid research and development assets.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Significant judgment is required in estimating accrued research and development expenses. Differences between the Company’s estimates and actual amounts incurred are recorded in the period in which such differences become known. Although the Company does not expect these estimates to be materially different from actual results, changes in the status or timing of services performed may result in reported amounts being higher or lower in any particular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are accounted for under the liability method. Deferred tax assets and liabilities are recognized for the estimated future tax consequences of temporary differences between the financial statement carrying amounts and their respective tax bases. Deferred tax assets and liabilities are measured using enacted tax rates expected to apply to taxable income in the year in which the temporary differences are expected to be recovered or settled. The Company evaluates the realizability of its deferred tax assets and establishes a valuation allowance when it is more likely than not that all or a portion of deferred tax assets will not be realized.</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this tax position on an annual basis. The Company also accrues for potential interest and penalties related to unrecognized tax benefits in income tax expense (Refer to Note 11, </w:t>
      </w:r>
      <w:r>
        <w:rPr>
          <w:rFonts w:ascii="Times New Roman" w:hAnsi="Times New Roman"/>
          <w:i/>
          <w:color w:val="000000"/>
          <w:sz w:val="20"/>
        </w:rPr>
        <w:t>Income Taxes</w:t>
      </w:r>
      <w:r>
        <w:rPr>
          <w:rFonts w:ascii="Times New Roman" w:hAnsi="Times New Roman"/>
          <w:color w:val="000000"/>
          <w:sz w:val="20"/>
        </w:rPr>
        <w: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Accounting for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Stock-based compensation cost is measured at the grant date based on the estimated fair value of the award and is recognized as expense over the employee’s requisite service period. Stock-based compensation expense is based on the number of awards ultimately expected to vest and is reduced for forfeitures as they occur. Consistent with prior years, the Company uses the Black-Scholes option pricing model, which requires estimates of the expected term option holders will retain their options before exercising them and the estimated volatility of the Company’s common stock price over the expected term.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recognized the full impact of its share-based employee payment plans in the statements of operations for each of the years ended December 31, 2025 and 2024 and did not capitalize any such costs on the balance sheets. The Company recognized $0.4 million of compensation expense related to stock options for the year ended December 31, 2025 and $0.4 million of compensation expense related to stock options for the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F-9</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year ended December 31, 2024. The total compensation expense relating to vesting of stock options and stock issued for board service fees and other services for the year ended December 31, 2025 was $0.8 million and $0.4 million for the year ended December 31, 2024.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each stock option is estimated at the date of grant using the Black-Scholes option pricing model. Assumptions regarding volatility, expected term, dividend yield and risk-free interest rate are required for the Black-Scholes model. The volatility assumption is based on the historical experience. The Company calculated expected term using the simplified method described in SEC Staff Accounting Bulletin, or SAB, No. 107 and No. 110.</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amounts paid in advance for goods and services to be received in future periods. Such amounts are recorded at cost and amortized to expense over the period in which the related goods or services are received. The Company classifies prepaid amounts expected to be realized within twelve months as current assets and the remaining portion as non-current assets. The Company reviews prepaid balances for recoverability and records expense when it is determined that the future economic benefit is no longer probable. As of December 31, 2025, the Company’s prepaid balances included a multi-year insurance contract, of which $222 was classified in prepaid expenses and other current assets and $887 was classified in prepaid expenses and other non-current assets.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net loss per common share is computed by dividing net loss applicable to common stockholders by the weighted average number of shares of common stock outstanding for the period. Diluted net loss per share is computed using the weighted-average number of shares of common stock outstanding during the period, plus the dilutive effect of outstanding options and warrants, using the treasury stock method and the average market price of the Company’s common stock during the applicable period, unless their effect on net loss per share is antidilutive. The effect of computing diluted net loss per common share was antidilutive for any potentially issuable shares of common stock from the conversion of stock options, unvested restricted stock and warrants and, as such, have been excluded from the calculation.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Certain shares related to some of the Company’s outstanding common stock options and warrants have not been included in the computation of diluted net loss per share for the years ended December 31, 2025 and 2024 as the result would be antidilutive. Such potential common shares on December 31, 2025 and 2024 consist of the following:</w:t>
      </w:r>
    </w:p>
    <w:p>
      <w:pPr>
        <w:pStyle w:val="TextBody"/>
        <w:bidi w:val="0"/>
        <w:jc w:val="both"/>
        <w:rPr/>
      </w:pPr>
      <w:r>
        <w:rPr/>
        <w:t> </w:t>
      </w:r>
    </w:p>
    <w:tbl>
      <w:tblPr>
        <w:tblW w:w="4599" w:type="dxa"/>
        <w:jc w:val="left"/>
        <w:tblInd w:w="0" w:type="dxa"/>
        <w:tblLayout w:type="fixed"/>
        <w:tblCellMar>
          <w:top w:w="28" w:type="dxa"/>
          <w:left w:w="28" w:type="dxa"/>
          <w:bottom w:w="28" w:type="dxa"/>
          <w:right w:w="28" w:type="dxa"/>
        </w:tblCellMar>
      </w:tblPr>
      <w:tblGrid>
        <w:gridCol w:w="2221"/>
        <w:gridCol w:w="146"/>
        <w:gridCol w:w="146"/>
        <w:gridCol w:w="781"/>
        <w:gridCol w:w="146"/>
        <w:gridCol w:w="146"/>
        <w:gridCol w:w="146"/>
        <w:gridCol w:w="67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A-1 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A-2 Preferred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show the net loss attributable to common shareholders after including undeclared cumulative preferred dividend used to calculate the basic and diluted earnings per share, as shown on the statement of operations (See Note 6. Equity - Series A-1 and A-2 Preferred Stock Cumulative Dividends):</w:t>
      </w:r>
    </w:p>
    <w:p>
      <w:pPr>
        <w:pStyle w:val="TextBody"/>
        <w:bidi w:val="0"/>
        <w:spacing w:before="120" w:after="283"/>
        <w:jc w:val="both"/>
        <w:rPr/>
      </w:pPr>
      <w:r>
        <w:rPr/>
        <w:t> </w:t>
      </w:r>
    </w:p>
    <w:tbl>
      <w:tblPr>
        <w:tblW w:w="7529" w:type="dxa"/>
        <w:jc w:val="left"/>
        <w:tblInd w:w="0" w:type="dxa"/>
        <w:tblLayout w:type="fixed"/>
        <w:tblCellMar>
          <w:top w:w="28" w:type="dxa"/>
          <w:left w:w="28" w:type="dxa"/>
          <w:bottom w:w="28" w:type="dxa"/>
          <w:right w:w="28" w:type="dxa"/>
        </w:tblCellMar>
      </w:tblPr>
      <w:tblGrid>
        <w:gridCol w:w="4196"/>
        <w:gridCol w:w="146"/>
        <w:gridCol w:w="272"/>
        <w:gridCol w:w="815"/>
        <w:gridCol w:w="214"/>
        <w:gridCol w:w="188"/>
        <w:gridCol w:w="272"/>
        <w:gridCol w:w="815"/>
        <w:gridCol w:w="611"/>
      </w:tblGrid>
      <w:tr>
        <w:trPr/>
        <w:tc>
          <w:tcPr>
            <w:tcW w:w="4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center"/>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Cumulative preferred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jc w:val="left"/>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F-10</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2023, the Financial Accounting Standards Board (“FASB”) issued Accounting Standards Update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ASU 2023-09 enhances income tax disclosures, including disclosures related to the rate reconciliation and income taxes paid. The amendments in ASU 2023-09 are effective for public business entities for annual periods beginning after December 15, 2024. The Company adopted ASU 2023-09 effective January 1, 2025 on a Prospective basis. The adoption of this guidance impacted the Company’s disclosures only and did not have a material effect on its consolidated financial position, results of operations, or cash flows.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March 2024, the FASB issued ASU No. 2024-02, </w:t>
      </w:r>
      <w:r>
        <w:rPr>
          <w:rFonts w:ascii="Times New Roman" w:hAnsi="Times New Roman"/>
          <w:i/>
          <w:color w:val="000000"/>
          <w:sz w:val="20"/>
        </w:rPr>
        <w:t>Codification Improvements—Amendments to Remove References to the Concept Statements</w:t>
      </w:r>
      <w:r>
        <w:rPr>
          <w:rFonts w:ascii="Times New Roman" w:hAnsi="Times New Roman"/>
          <w:color w:val="000000"/>
          <w:sz w:val="20"/>
        </w:rPr>
        <w:t>. The amendments in ASU 2024-02 are effective for public business entities for fiscal years beginning after December 15, 2024. The Company adopted ASU 2024-02 effective January 1, 2025. The adoption of this standard did not have a material impact on the Company’s financial statements or related disclosures.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 Narrow-Scope Improvements</w:t>
      </w:r>
      <w:r>
        <w:rPr>
          <w:rFonts w:ascii="Times New Roman" w:hAnsi="Times New Roman"/>
          <w:color w:val="000000"/>
          <w:sz w:val="20"/>
        </w:rPr>
        <w:t>. For public business entities, the amendments are effective for interim reporting periods within annual reporting periods beginning after December 15, 2027. The Company is evaluating the impact of this guidance. Because the amendments relate principally to interim reporting, the Company does not expect the standard to materially affect its annual financial statements, but adoption may affect the format and content of future interim disclosures.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In December 2025, the FASB issued ASU No. 2025-12, </w:t>
      </w:r>
      <w:r>
        <w:rPr>
          <w:rFonts w:ascii="Times New Roman" w:hAnsi="Times New Roman"/>
          <w:i/>
          <w:color w:val="000000"/>
          <w:sz w:val="20"/>
        </w:rPr>
        <w:t>Codification Improvements</w:t>
      </w:r>
      <w:r>
        <w:rPr>
          <w:rFonts w:ascii="Times New Roman" w:hAnsi="Times New Roman"/>
          <w:color w:val="000000"/>
          <w:sz w:val="20"/>
        </w:rPr>
        <w:t>. The amendments are effective for annual reporting periods beginning after December 15, 2026, and interim reporting periods within those annual reporting periods. The Company is evaluating the impact of this guidance and does not currently expect adoption to have a material impact on its financial statements.</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3.</w:t>
      </w:r>
    </w:p>
    <w:p>
      <w:pPr>
        <w:pStyle w:val="TextBody"/>
        <w:bidi w:val="0"/>
        <w:spacing w:before="80" w:after="283"/>
        <w:jc w:val="both"/>
        <w:rPr>
          <w:rFonts w:ascii="Times New Roman" w:hAnsi="Times New Roman"/>
          <w:b/>
          <w:color w:val="000000"/>
          <w:sz w:val="20"/>
        </w:rPr>
      </w:pPr>
      <w:r>
        <w:rPr>
          <w:rFonts w:ascii="Times New Roman" w:hAnsi="Times New Roman"/>
          <w:b/>
          <w:color w:val="000000"/>
          <w:sz w:val="20"/>
        </w:rPr>
        <w:t>Property and Equipment,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5545" w:type="dxa"/>
        <w:jc w:val="left"/>
        <w:tblInd w:w="0" w:type="dxa"/>
        <w:tblLayout w:type="fixed"/>
        <w:tblCellMar>
          <w:top w:w="28" w:type="dxa"/>
          <w:left w:w="28" w:type="dxa"/>
          <w:bottom w:w="28" w:type="dxa"/>
          <w:right w:w="28" w:type="dxa"/>
        </w:tblCellMar>
      </w:tblPr>
      <w:tblGrid>
        <w:gridCol w:w="2686"/>
        <w:gridCol w:w="146"/>
        <w:gridCol w:w="437"/>
        <w:gridCol w:w="658"/>
        <w:gridCol w:w="166"/>
        <w:gridCol w:w="146"/>
        <w:gridCol w:w="392"/>
        <w:gridCol w:w="703"/>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expense for the year ended December 31, 2025 and 2024 was $7 and was $2, respectively.</w:t>
      </w:r>
    </w:p>
    <w:p>
      <w:pPr>
        <w:pStyle w:val="TextBody"/>
        <w:bidi w:val="0"/>
        <w:jc w:val="both"/>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240" w:after="283"/>
        <w:jc w:val="left"/>
        <w:rPr/>
      </w:pPr>
      <w:r>
        <w:rPr>
          <w:rFonts w:ascii="Times New Roman" w:hAnsi="Times New Roman"/>
          <w:b/>
          <w:color w:val="000000"/>
          <w:sz w:val="20"/>
        </w:rPr>
        <w:t>Accrued Expenses</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consist of the following:</w:t>
      </w:r>
    </w:p>
    <w:p>
      <w:pPr>
        <w:pStyle w:val="TextBody"/>
        <w:bidi w:val="0"/>
        <w:jc w:val="left"/>
        <w:rPr/>
      </w:pPr>
      <w:r>
        <w:rPr/>
        <w:t> </w:t>
      </w:r>
    </w:p>
    <w:tbl>
      <w:tblPr>
        <w:tblW w:w="3694" w:type="dxa"/>
        <w:jc w:val="left"/>
        <w:tblInd w:w="0" w:type="dxa"/>
        <w:tblLayout w:type="fixed"/>
        <w:tblCellMar>
          <w:top w:w="28" w:type="dxa"/>
          <w:left w:w="28" w:type="dxa"/>
          <w:bottom w:w="28" w:type="dxa"/>
          <w:right w:w="28" w:type="dxa"/>
        </w:tblCellMar>
      </w:tblPr>
      <w:tblGrid>
        <w:gridCol w:w="1801"/>
        <w:gridCol w:w="146"/>
        <w:gridCol w:w="211"/>
        <w:gridCol w:w="421"/>
        <w:gridCol w:w="146"/>
        <w:gridCol w:w="146"/>
        <w:gridCol w:w="211"/>
        <w:gridCol w:w="421"/>
        <w:gridCol w:w="191"/>
      </w:tblGrid>
      <w:tr>
        <w:trPr/>
        <w:tc>
          <w:tcPr>
            <w:tcW w:w="1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6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use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F-11</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5.</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Exclusive License Agreement with Precigen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April 3, 2023, the Company entered into the Amended and Restated Exclusive License Agreement with Precigen, or the A&amp;R License Agreement, which restated and amended the parties' previous license agreement in full. Under the A&amp;R License Agreement, the Company still had exclusive, worldwide rights to research, develop and commercialize TCR products designed for neoantigens or driver mutations for the treatment of cancer and non-exclusive rights to use non-driver mutation TCRs. On October 4, 2024, pursuant to Section 10.2 of the License Agreement, the Company duly notified Precigen of its full termination of all rights under the License Agreement.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decision to terminate the A&amp;R License Agreement was made after a thorough review of our strategic priorities and business objectives, including recognizing that the non-viral </w:t>
      </w:r>
      <w:r>
        <w:rPr>
          <w:rFonts w:ascii="Times New Roman" w:hAnsi="Times New Roman"/>
          <w:i/>
          <w:color w:val="000000"/>
          <w:sz w:val="20"/>
        </w:rPr>
        <w:t>Sleeping Beauty</w:t>
      </w:r>
      <w:r>
        <w:rPr>
          <w:rFonts w:ascii="Times New Roman" w:hAnsi="Times New Roman"/>
          <w:color w:val="000000"/>
          <w:sz w:val="20"/>
        </w:rPr>
        <w:t xml:space="preserve"> gene transfer platform patent will expire in 2026. The Company continues to prosecute certain of the intellectual property underlying the TCRs targeting driver mutations such as KRAS, TP53 and EGFR, and the hunTR TCR discovery platform used in the discovery of our proprietary TCR library. The Company continues to explore strategic alternatives, including, but not limited to, an acquisition, merger, reverse merger, sale of assets, strategic partnerships, capital raises or other transactions.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License Agreement and Research and Development Agreement —The University of Texas MD Anderson Cancer Center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2015, the Company, together with Precigen, entered into a license agreement, or the MD Anderson License with MD Anderson (which Precigen subsequently assigned to PGEN). Pursuant to the MD Anderson License, the Company, together with Precigen,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provided under the MD Anderson License, the Company provided funding for research and development activities in support of the research programs under the 2015 R&amp;D Agreement. At various times, the Company amended the 2015 R&amp;D Agreement to extend the term until December 31, 2026 and in 2019 entered into the 2019 R&amp;D Agreement, pursuant to which the Company agreed to collaborate with respect to the TCR program.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 xml:space="preserve">During the reporting period, the Company continued to engage with The University of Texas M.D. Anderson Cancer Center (“MD Anderson”) to wind down the TCR trials. The parties completed the final reconciliation of amounts due under the related R&amp;D agreements, and the Company received the final invoice during the second quarter of 2025. Amounts due to MD Anderson and recorded in accounts payable were $143 and $257 as of December 31, 2025 and 2024, respectively.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November 4, 2025, the Office of the Attorney General of Texas, on behalf of MD Anderson, issued a demand for payment. On December 17, 2025, the Company entered into a Settlement and Release Agreement with MD Anderson to resolve the matter. Pursuant to the agreement, the Company agreed to pay $285 thousand in six installments through May 30, 2026, in full satisfaction of the outstanding invoices. The agreement also provides for mutual general releases, subject to customary exceptions, including for breach of the settlement agreement and certain ongoing matters such as Protocol 2006-0676.</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Patent and Technology License Agreement—The University of Texas MD Anderson Cancer Center and the Texas A&amp;M University System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F-12</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terms of the agreement, the Company may be required to make payments to the Licensors upon achievement of certain milestones in varying amounts which, on a cumulative basis could total up to an additional $4.5 million. In addition, the Licensors are entitled to receive low single digit royalties on net sales from a licensed product and will also be entitled to receive a portion of any fees that the Company may receive from a possible sublicense under certain circumstances. During the years ended December 31, 2025 and 2024, the Company did not incur any milestone expenses or royalty expenses under this agreement.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Collaboration Agreement with Solasia Pharma K.K.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2011, the Company entered into a License and Collaboration Agreement with Solasia Pharma K. K., or Solasia, which was amended in 2014 to include an exclusive worldwide license and further amended in 2021 to revise certain payment schedule details, or,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consideration for the license, the Company is eligible to receive from Solasia development- and sales-based milestones, a royalty on net sales of darinaparsin, once commercialized, and a percentage of any sublicense revenue generated by Solasia.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years ended December 31, 2025 and 2024, the Company earned royalty revenue totaling $5 and $10, respectively, on net sales under this agreement.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Insurance Contract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year ended December 31, 2025 , the Company's insurance arrangement for certain risks which were previously paid in full began to be in force for a period of six years. Accordingly, the Company began amortizing the prepaid expense related to the contract. The Company has classified the prepaid contract between its current portion and long term-portion. As of December 31, 2025, $222 is included in prepaid expenses and other current assets and $887 is included in prepaid expense and other non-current assets in the accompanying balance sheet.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Director Resignation</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15, 2025, Dr. Robert Hofmeister, Ph.D. resigned as a member of the Board of Directors of the Company with immediate effect. Dr. Robert Hofmeister's, Ph.D. resignation was not the result of any disagreement on any matter relating to the Company’s operations, policies or practices.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Changes in Corporate Governance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 2025, Dale Curtis Hogue, Jr. resigned from his positions as Chief Executive Officer and a member of the Board of Directors of the Company, effective immediately. His resignation was not due to any disagreement with the Company. In connection with his departure, the Company entered into a Consulting Agreement with Mr. Hogue, effective July 1, 2025, under which he will provide strategic and advisory services to the Company at a rate of $250 per hour. The agreement remains in effect until terminated by either party.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 2025, the Board appointed Holger Weis as Chief Executive Officer, effective immediately. Mr. Weis will continue to serve as Chair of the Board of Directors, but has relinquished his roles on the Audit and Compensation Committees, pursuant to applicable Nasdaq Listing Rules. In connection with his appointment, the Company entered into an Employment Agreement with Mr. Weis, providing for an annual base salary of $275 and a stock option to purchase 130,000 shares of common stock at an exercise price of $5.06 per share. One-quarter of the option vested immediately, with the remainder vesting in equal quarterly installments over three years.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15, 2025, the Board of Directors of the Company appointed Mr. Michael A. Jerman as an independent director of the Company, effective immediately, to fill the vacancy on the Board of Directors created by the resignation of Mr. Hogue and the vacancies on the audit and compensation committees from Mr. Weis’s appointment as CEO. In connection with his appointment, Mr. Jerman was also named to the Audit Committee and the Compensation Committee of the Board, and will serve as the Chair of the Audit Committee. Upon his appointment, Mr. Jerman was awarded options to purchase Common Stock pursuant to the Company's Non-employee Director Compensation Policy.</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16, 2025, Melinda Lackey notified the Company of her decision to terminate the Consulting Agreement dated November 14, 2023 (the “Agreement”) pursuant to terms of the agreement, with such termination to be effective 30 days from the date of notice, or August 15, 2025. In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F-13</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connection with the termination of the Agreement, Ms. Lackey resigned from her roles as Legal and Administrative Officer and Corporate Secretary of the Company as of the effective Date. Ms. Lackey’s departure is not the result of any disagreement with the Company on any matter relating to the Company’s operations, policies, or practices.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14, 2025, the Board of Directors of the Company appointed Mr. Ferdinand Groenewald as Corporate Secretary effective upon the resignation of Ms. Lackey.</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Sales Tax Contingency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is subject to examination by certain state and local taxing authorities related to sales and use tax matters. The Company records a liability for such matters when it is probable that a liability has been incurred and the amount can be reasonably estimated. As of December 31, 2025, the Company has recorded an estimated liability of $54 to these matters. In addition, the Company may be exposed to additional loss; however, the Company cannot reasonably estimate the amount or range of additional loss at this time.</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Equity</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Increase in Authorized Shares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 2025, the Company stockholders approved an amendment to the Company’s Certificate of Incorporation to increase the number of authorized shares of common stock from 5,000,000 to 50,000,000. The amendment was filed with the Secretary of State of the State of Delaware and became effective upon filing.</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Equity Incentive Plan Amendment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July 3, 2025, the Company's stockholders approved an amendment to the Company’s 2020 Equity Incentive Plan to increase the number of shares of common stock authorized for issuance under the plan from 130,745 to 1,130,745 shares.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Series A-1 Preferred Stock</w:t>
      </w:r>
    </w:p>
    <w:p>
      <w:pPr>
        <w:pStyle w:val="TextBody"/>
        <w:bidi w:val="0"/>
        <w:jc w:val="both"/>
        <w:rPr>
          <w:rFonts w:ascii="Times New Roman" w:hAnsi="Times New Roman"/>
          <w:color w:val="000000"/>
          <w:sz w:val="20"/>
        </w:rPr>
      </w:pPr>
      <w:r>
        <w:rPr>
          <w:rFonts w:ascii="Times New Roman" w:hAnsi="Times New Roman"/>
          <w:color w:val="000000"/>
          <w:sz w:val="20"/>
        </w:rPr>
        <w:t xml:space="preserve">In April 2025, the Company entered into a Subscription Agreement (the “A-1 Agreement”), with an accredited investor, pursuant to which the Company sold 500 shares of Series A-1 Convertible Preferred Stock, par value of $0.001 per share (the “Series A-1 Preferred Stock”), at a price per share of $1,000 (the “Preferred Offering”) for an aggregate purchase price of $0.5 million. The Preferred Offering also relates to the offering of the shares of the Company's common stock (the "Common Stock") issuable upon the conversion of or otherwise pursuant to the terms of the Series A-1 Preferred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therewith, the Company filed with the Secretary of State of the State of Delaware the Certificate of Designation of Series A-1 Convertible Preferred Stock of the Company, designating 1,000 shares of preferred stock as Series A-1 Preferred Stock. </w:t>
      </w:r>
    </w:p>
    <w:p>
      <w:pPr>
        <w:pStyle w:val="TextBody"/>
        <w:bidi w:val="0"/>
        <w:jc w:val="both"/>
        <w:rPr>
          <w:rFonts w:ascii="Times New Roman" w:hAnsi="Times New Roman"/>
          <w:color w:val="000000"/>
          <w:sz w:val="20"/>
        </w:rPr>
      </w:pPr>
      <w:r>
        <w:rPr>
          <w:rFonts w:ascii="Times New Roman" w:hAnsi="Times New Roman"/>
          <w:color w:val="000000"/>
          <w:sz w:val="20"/>
        </w:rPr>
        <w:t>Series A-1 Preferred Stock together with the aggregate accrued or accumulated and unpaid dividends thereon, is convertible, at any time at option of the holder, into shares of Common Stock at initial fixed “Conversion Price” of $2.76 per share, subject to customary anti-dilution provisions. Prior thereto, the holders of Series A-1 Preferred Stock are entitled to receive dividends at a rate of 10% per annum, payable in shares of Series A-1 Preferred Stock, if and when declared by the Board of Directors. In addition, to the extent any other dividends or distributions are declared for holders of the common stock, the holders of Series A-1 Preferred Stock have participation rights on an as-converted basis. The holders of Series A-1 Preferred Stock are entitled to vote, together as a single class, on any and all matters presented to the stockholders of the Company for their action on an as-converted basis, a number of votes equal to the number of shares of common stock into which the shares of Series A-1 Preferred Stock are convertible under the terms of the Certificate of Designation.</w:t>
      </w:r>
    </w:p>
    <w:p>
      <w:pPr>
        <w:pStyle w:val="TextBody"/>
        <w:bidi w:val="0"/>
        <w:jc w:val="both"/>
        <w:rPr>
          <w:rFonts w:ascii="Times New Roman" w:hAnsi="Times New Roman"/>
          <w:i/>
          <w:color w:val="000000"/>
          <w:sz w:val="20"/>
        </w:rPr>
      </w:pPr>
      <w:r>
        <w:rPr>
          <w:rFonts w:ascii="Times New Roman" w:hAnsi="Times New Roman"/>
          <w:i/>
          <w:color w:val="000000"/>
          <w:sz w:val="20"/>
        </w:rPr>
        <w:t>Director Compensation</w:t>
      </w:r>
    </w:p>
    <w:p>
      <w:pPr>
        <w:pStyle w:val="TextBody"/>
        <w:bidi w:val="0"/>
        <w:jc w:val="both"/>
        <w:rPr>
          <w:rFonts w:ascii="Times New Roman" w:hAnsi="Times New Roman"/>
          <w:color w:val="000000"/>
          <w:sz w:val="20"/>
        </w:rPr>
      </w:pPr>
      <w:r>
        <w:rPr>
          <w:rFonts w:ascii="Times New Roman" w:hAnsi="Times New Roman"/>
          <w:color w:val="000000"/>
          <w:sz w:val="20"/>
        </w:rPr>
        <w:t xml:space="preserve">On April 13, 2025, the Board of Directors of the Company elected to receive compensation in the form of shares of common stock and stock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F-14</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options in lieu of cash for the then outstanding cumulative deferred board service fees for the first quarter of 2025, totaling $139. Accordingly, the Company issued 38,269 shares of common stock with an aggregate fair value of $112 and granted 10,904 fully vested stock options, with an exercise price of $2.92 per share and an aggregate grant date fair value of $27.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July 3, 2025, the Board of Directors of the Company elected to receive compensation in the form of shares of common stock and stock options in lieu of cash for the second quarter board service fees. The total deferred board service fees amounted to $37. In exchange for these deferred fees, the Company issued 7,450 shares of common stock and on August 18, 2025 granted 13,676 fully vested stock options, with an exercise price of $2.32 per share and an aggregate grant date fair value of $27.</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November 21, 2025, members of the Board of Directors of the Company elected to receive compensation in equity rather than in cash for their third quarter board service fees. Accordingly, the Company issued 14,665 shares of common stock with an aggregate fair value of $49.</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Securities Purchase Agreement for Registered Direct Offering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2025, the Company entered into a Securities Purchase Agreement with certain institutional investors, pursuant to which the Company agreed to sell (i) 338,725 shares of common stock at a purchase price of $3.36 per share and (ii) 271,674 pre-funded warrants to purchase common stock at a purchase price of $3.359 per warrant share, in a registered direct offering. In connection therewith, Company received net proceeds totaling $1.91 million after deduction of transaction related expenses. As of December 31, 2025, all pre-funded warrants had been exercised, including certain warrants exercised on a cashless basis, resulting in the issuance of an aggregate of 271,656 shares of common stock.</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i/>
          <w:color w:val="000000"/>
          <w:sz w:val="20"/>
        </w:rPr>
        <w:t>Series A-2 Preferred Stock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June 2025, the Company entered into a subscription agreement with certain accredited investors, pursuant to which the Company sold, in a private placement, 850 shares of Series A-2 Convertible Preferred Stock, par value $0.001 per share, at a price of $1,000 per share, for aggregate gross proceeds of $0.85 million.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therewith, the Company filed with the Secretary of State of the State of Delaware the Certificate of Designation of Series A-2 Convertible Preferred Stock of the Company, designating 1,000 shares of preferred stock as Series A-2 Preferred Stock.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Series A-2 Preferred Stock, together with the aggregate accrued or accumulated and unpaid dividends thereon, is convertible, at any time at the option of the holder, into shares of Common Stock at an initial fixed “Conversion Price” of $4.49 per share, subject to customary anti-dilution provisions. Prior thereto, the holders of Series A-2 Preferred Stock are entitled to receive dividends at a rate of 10% per annum, payable in shares of Series A-2 Preferred Stock, if and when declared by the Board of Directors. In addition, to the extent any other dividends or distributions are declared for holders of the Common Stock, the holders of Series A-2 Preferred Stock have participation rights on an as-converted basis. The holders of Series A-2 Preferred Stock are entitled to vote, together as a single class, on any and all matters presented to the stockholders of the Company for their action on an as-converted basis, a number of votes equal to the number of shares of Common Stock into which the shares of Series A-2 Preferred Stock are convertible under the terms of the Certificate of Designation.</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Series A-1 and A-2 Preferred Stock Cumulative Dividends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Cumulative dividends on the Company’s Series A-1 and Series A-2 Convertible Preferred Stock accrue at 10% per annum and compound quarterly by increasing the liquidation preference. Undeclared cumulative dividends are not recorded as a liability. Because the Company reported a net loss for the periods presented, cumulative preferred dividends increased the net loss attributable to common stockholders in the earnings-per-share calculation. As of December 31, 2025, undeclared cumulative dividends totaled $60 for Series A-1 and $45 for Series A-2. </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Consulting Services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August 18, 2025, the Company issued 10,775 shares of common stock for services, with an aggregate grant-date fair value of $25 to the Company's Vice President of Finance. In addition, the Company issued 4,000 stock options to the consultant with a grant date fair value of $8. One-sixteenth of the shares underlying the option vest in equal quarterly installments measured from August 18, 2025, with the first vesting occurring on November 18, 2025.</w:t>
      </w:r>
    </w:p>
    <w:p>
      <w:pPr>
        <w:pStyle w:val="TextBody"/>
        <w:bidi w:val="0"/>
        <w:jc w:val="left"/>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F-15</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October 10, 2025, the Company issued 53,832 shares of common stock for services, with an aggregate grant-date fair value of $199. The issuance partially settled accounts payable outstanding at September 30, 2025 pursuant to a revised consulting agreement. For services render through out the remainder of the year ended December 31, 2025 the Company issued an aggregate of 12,856 shares of common stock for services, with an aggregate grant-date fair value of $38 pursuant to the consulting agreement.</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7.</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Company's warrant activity for the years ended December 31, 2025:</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2908"/>
        <w:gridCol w:w="146"/>
        <w:gridCol w:w="193"/>
        <w:gridCol w:w="1116"/>
        <w:gridCol w:w="166"/>
        <w:gridCol w:w="146"/>
        <w:gridCol w:w="582"/>
        <w:gridCol w:w="1586"/>
        <w:gridCol w:w="146"/>
        <w:gridCol w:w="146"/>
        <w:gridCol w:w="684"/>
        <w:gridCol w:w="2191"/>
        <w:gridCol w:w="195"/>
      </w:tblGrid>
      <w:tr>
        <w:trPr/>
        <w:tc>
          <w:tcPr>
            <w:tcW w:w="2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Contractual Term (Years)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May 2025, the Company entered into an equity purchase agreement with an investor under which the Company has the option to sell up to $25.0 million of common stock over a period of 24 months at 97% of the prior trading day’s volume-weighted average price, subject to volume and ownership limitations. In connection with the agreement, the Company issued a warrant to purchase 79,900 shares of common stock at $4.00 per share, with a five-year term.</w:t>
      </w:r>
    </w:p>
    <w:p>
      <w:pPr>
        <w:pStyle w:val="TextBody"/>
        <w:bidi w:val="0"/>
        <w:jc w:val="both"/>
        <w:rPr>
          <w:rFonts w:ascii="Times New Roman" w:hAnsi="Times New Roman"/>
          <w:color w:val="000000"/>
          <w:sz w:val="20"/>
        </w:rPr>
      </w:pPr>
      <w:r>
        <w:rPr>
          <w:rFonts w:ascii="Times New Roman" w:hAnsi="Times New Roman"/>
          <w:color w:val="000000"/>
          <w:sz w:val="20"/>
        </w:rPr>
        <w:t xml:space="preserve">Due to anti-dilution and variable pricing features, the warrant was initially classified as a derivative liability measured at fair value using the Black-Scholes model, which was determined to be approximately equivalent to a lattice or monte carlo model. On the issuance date, the fair value of the derivative liability totaled $177, with a corresponding increase in deferred issuance costs for the same amount, which is included in other assets in the balance sheet and will be amortized as a reduction to the proceeds received equity instruments sold pursuant to the agreement or upon its termination in the event the entirety of the shares are not sold. On June 9, 2025, the Company and the investor agreed to amend the warrant to introduce a $0.57 floor price, eliminate certain share-count adjustments, and remove certain fundamental transaction rights. As a result, the warrant, as amended, qualified for equity classification, was remeasured at fair value, and was reclassified from liabilities to equity, which resulted in a charge of $31 recognized as a change in fair value of derivative liability and is included in other expense in the statement of operations.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 of the warrant issued to the investor was initially measured using the Black-Scholes option pricing model as of May 19, 2025, based on the following assumptions: expected volatility of 118.36%, risk-free interest rate of 4.19%, dividend yield of 0%, expected term of 5.0 years, stock price of $3.12, and exercise price of $3.48. On June 9, 2025, in connection with the amendment of the warrant terms, the fair value was remeasured using updated inputs, which included an expected volatility of 125.81%, risk-free interest rate of 4.09%, dividend yield of 0%, expected term of 5.0 years, stock price of $3.12, and a revised exercise price of $3.36. Both valuations reflect management’s best estimates at the respective measurement dates. Assumptions regarding volatility, expected term, dividend yield and risk-free interest rate are required for the Black-Scholes model. The volatility assumption is based on the historical experience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no provision for income taxes because the Company has incurred operating losses since inception. The reported amounts of income tax expense for the years ended December 31, 2025 and 2024 differ from the amounts that would result from applying domestic federal statutory tax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F-16</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rates to pretax losses primarily because of the changes in the valuation allowance. Significant components of the Company’s deferred tax assets at December 31, 2025 and 2024 are as follows:</w:t>
      </w:r>
    </w:p>
    <w:tbl>
      <w:tblPr>
        <w:tblW w:w="7334" w:type="dxa"/>
        <w:jc w:val="left"/>
        <w:tblInd w:w="0" w:type="dxa"/>
        <w:tblLayout w:type="fixed"/>
        <w:tblCellMar>
          <w:top w:w="28" w:type="dxa"/>
          <w:left w:w="28" w:type="dxa"/>
          <w:bottom w:w="28" w:type="dxa"/>
          <w:right w:w="28" w:type="dxa"/>
        </w:tblCellMar>
      </w:tblPr>
      <w:tblGrid>
        <w:gridCol w:w="4161"/>
        <w:gridCol w:w="146"/>
        <w:gridCol w:w="211"/>
        <w:gridCol w:w="841"/>
        <w:gridCol w:w="166"/>
        <w:gridCol w:w="146"/>
        <w:gridCol w:w="211"/>
        <w:gridCol w:w="841"/>
        <w:gridCol w:w="611"/>
      </w:tblGrid>
      <w:tr>
        <w:trPr/>
        <w:tc>
          <w:tcPr>
            <w:tcW w:w="4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Start-up and pre-clinical studies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acquisition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(213,281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 of assets and liabilities for financial reporting purposes and the amounts used for income tax purposes. At December 31, 2025, the Company has aggregate net operating loss carryforwards for federal tax purposes of approximately $775 million, of which approximately $339 million expire at various dates through December 31, 2037 and approximately $436 million can be carried forward indefinitely. The Company has generated a gross net operating loss of approximate $10.9 million in Florida for the current year. The Company is reducing its approximately $498 million of state net operating loss carryforwards to $0 as these state net operating loss carryforwards all related to Massachusetts filings and, as of December 31, 2024 the Company no longer had any employees or property in Massachusetts and, as a result, the Company will no longer have income tax nexus in Massachusetts or an income tax filing obligation after the year ended December 31, 2024. Additionally, the Company has approximately $40.3 million of federal and state research and development credits at December 31, 2025, expiring in varying amounts through 2045, which may be available to reduce future taxes. The Company has reduced its Massachusetts credits carryforward to $0 as well at December 31, 2024.</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provided a valuation allowance for the full amount of its net deferred tax assets since it is more likely than not that these future benefits will not be realized. However, these deferred tax assets may be available to offset future income tax liabilities and expenses. The valuation allowance increased by $303 in 2025 due primarily to net operating loss carryforwards and the increase in research and development credits.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Income taxes using the federal statutory income tax rate differ from the Company’s effective tax rate primarily due to non-deductible expenses related to the Company’s issuance of warrants along with the change in the valuation allowance on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Beginning in 2025 annual reporting, we adopted ASU 2023-09 prospectively. See Note 2 — Summary of Significant Accounting Policies – Recently Adopted Accounting Pronouncements for additional details on the adoption of ASU 2023-09. A reconciliation of the U.S. federal statutory income tax expense (benefit) to our effective tax rate pursuant to the disclosure requirements of ASU 2023-09 for the year ended December 31, 2025 is as follows:</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F-17</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tbl>
      <w:tblPr>
        <w:tblW w:w="6057" w:type="dxa"/>
        <w:jc w:val="left"/>
        <w:tblInd w:w="0" w:type="dxa"/>
        <w:tblLayout w:type="fixed"/>
        <w:tblCellMar>
          <w:top w:w="28" w:type="dxa"/>
          <w:left w:w="28" w:type="dxa"/>
          <w:bottom w:w="28" w:type="dxa"/>
          <w:right w:w="28" w:type="dxa"/>
        </w:tblCellMar>
      </w:tblPr>
      <w:tblGrid>
        <w:gridCol w:w="3541"/>
        <w:gridCol w:w="146"/>
        <w:gridCol w:w="260"/>
        <w:gridCol w:w="705"/>
        <w:gridCol w:w="205"/>
        <w:gridCol w:w="180"/>
        <w:gridCol w:w="180"/>
        <w:gridCol w:w="464"/>
        <w:gridCol w:w="37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 at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Federal/state rate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A reconciliation of the U.S. federal statutory income tax expense (benefit) to our effective tax rate for the years ended December 31, 2024 is as follows (in percentages):</w:t>
      </w:r>
    </w:p>
    <w:tbl>
      <w:tblPr>
        <w:tblW w:w="6058" w:type="dxa"/>
        <w:jc w:val="left"/>
        <w:tblInd w:w="0" w:type="dxa"/>
        <w:tblLayout w:type="fixed"/>
        <w:tblCellMar>
          <w:top w:w="28" w:type="dxa"/>
          <w:left w:w="28" w:type="dxa"/>
          <w:bottom w:w="28" w:type="dxa"/>
          <w:right w:w="28" w:type="dxa"/>
        </w:tblCellMar>
      </w:tblPr>
      <w:tblGrid>
        <w:gridCol w:w="3541"/>
        <w:gridCol w:w="146"/>
        <w:gridCol w:w="558"/>
        <w:gridCol w:w="1437"/>
        <w:gridCol w:w="376"/>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income tax at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true-up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color w:val="000000"/>
              </w:rPr>
              <w:t>— </w:t>
            </w:r>
            <w:r>
              <w:rPr>
                <w:rFonts w:ascii="Times New Roman" w:hAnsi="Times New Roman"/>
                <w:color w:val="000000"/>
                <w:sz w:val="20"/>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Federal/state rate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The Company adopted ASC 740, </w:t>
      </w:r>
      <w:r>
        <w:rPr>
          <w:rFonts w:ascii="Times New Roman" w:hAnsi="Times New Roman"/>
          <w:i/>
          <w:color w:val="000000"/>
          <w:sz w:val="20"/>
        </w:rPr>
        <w:t>Accounting for Uncertain Tax Positions</w:t>
      </w:r>
      <w:r>
        <w:rPr>
          <w:rFonts w:ascii="Times New Roman" w:hAnsi="Times New Roman"/>
          <w:color w:val="000000"/>
          <w:sz w:val="20"/>
        </w:rPr>
        <w:t xml:space="preserve"> on January 1, 2007. ASC 740 clarifies the accounting for uncertainty in income taxes recognized in an enterprise’s financial statements in accordance with FASB Statement No. 109, “Accounting for Income Taxes.” ASC 740 prescribes a recognition threshold and measurement of a tax position taken or expected to be taken in a tax return. The Company did not establish any additional reserves for uncertain tax liabilities upon adoption of ASC 740. There were no adjustments to its uncertain tax positions in the years ended 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not recognized any interest and penalties in the statements of operations because of the Company’s net operating losses and tax credits that are available to be carried forward. When necessary, the Company will account for interest and penalties related to uncertain tax positions as part of its provision for federal and state income taxes. The Company does not expect the amounts of unrecognized benefits will change significantly within the next twelve months.</w:t>
      </w:r>
    </w:p>
    <w:p>
      <w:pPr>
        <w:pStyle w:val="TextBody"/>
        <w:bidi w:val="0"/>
        <w:spacing w:before="120" w:after="283"/>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9.</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Stock Option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adopted the 2020 Equity Incentive Plan, or the 2020 Plan, in June 2020. As of December 31, 2025, there were 222,485 shares reserved for issuance and 953,496 shares available for future grant. The Company reserved 1,140,000 shares for issuance plus a carryover of 7,109 shares from the 2012 Plan for a total of 1,147,109 shares. In addition, returning shares from the 2012 Plan are available for issuance under the 2020 Plan.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options generally vest ratably in either quarterly or annual installments over three or four years, commencing on the first anniversary of the grant date and have contractual terms of ten years. Stock options to directors generally vest ratably over one or two years and have contractual terms of ten years. Stock options are valued using the Black-Scholes option pricing model and compensation is recognized based on such fair value over the period of vesting on a straight-line basis.</w:t>
      </w:r>
    </w:p>
    <w:p>
      <w:pPr>
        <w:pStyle w:val="TextBody"/>
        <w:bidi w:val="0"/>
        <w:spacing w:before="120" w:after="283"/>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presents share-based compensation expense on all employee and non-employee awards included in the accompanying statements of operations as follows: </w:t>
      </w:r>
    </w:p>
    <w:p>
      <w:pPr>
        <w:pStyle w:val="TextBody"/>
        <w:bidi w:val="0"/>
        <w:jc w:val="left"/>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F-18</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tbl>
      <w:tblPr>
        <w:tblW w:w="5770" w:type="dxa"/>
        <w:jc w:val="left"/>
        <w:tblInd w:w="0" w:type="dxa"/>
        <w:tblLayout w:type="fixed"/>
        <w:tblCellMar>
          <w:top w:w="28" w:type="dxa"/>
          <w:left w:w="28" w:type="dxa"/>
          <w:bottom w:w="28" w:type="dxa"/>
          <w:right w:w="28" w:type="dxa"/>
        </w:tblCellMar>
      </w:tblPr>
      <w:tblGrid>
        <w:gridCol w:w="3001"/>
        <w:gridCol w:w="349"/>
        <w:gridCol w:w="698"/>
        <w:gridCol w:w="242"/>
        <w:gridCol w:w="242"/>
        <w:gridCol w:w="349"/>
        <w:gridCol w:w="698"/>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activity under the Company's stock options plans for the years ending December 31, 2025 and 2024 were as follows:</w:t>
      </w:r>
    </w:p>
    <w:tbl>
      <w:tblPr>
        <w:tblW w:w="10205" w:type="dxa"/>
        <w:jc w:val="left"/>
        <w:tblInd w:w="0" w:type="dxa"/>
        <w:tblLayout w:type="fixed"/>
        <w:tblCellMar>
          <w:top w:w="28" w:type="dxa"/>
          <w:left w:w="28" w:type="dxa"/>
          <w:bottom w:w="28" w:type="dxa"/>
          <w:right w:w="28" w:type="dxa"/>
        </w:tblCellMar>
      </w:tblPr>
      <w:tblGrid>
        <w:gridCol w:w="2677"/>
        <w:gridCol w:w="146"/>
        <w:gridCol w:w="180"/>
        <w:gridCol w:w="966"/>
        <w:gridCol w:w="166"/>
        <w:gridCol w:w="146"/>
        <w:gridCol w:w="393"/>
        <w:gridCol w:w="1262"/>
        <w:gridCol w:w="146"/>
        <w:gridCol w:w="146"/>
        <w:gridCol w:w="503"/>
        <w:gridCol w:w="1611"/>
        <w:gridCol w:w="146"/>
        <w:gridCol w:w="146"/>
        <w:gridCol w:w="519"/>
        <w:gridCol w:w="855"/>
        <w:gridCol w:w="197"/>
      </w:tblGrid>
      <w:tr>
        <w:trPr/>
        <w:tc>
          <w:tcPr>
            <w:tcW w:w="2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Contractual 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exercisable,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future grant,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953,496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31, 2025, total unrecognized compensation costs related to non-vested stock options outstanding amounted to $0.4 million, which is expected to be recognized over a weighted-average period of 1.75 years.</w:t>
      </w:r>
    </w:p>
    <w:p>
      <w:pPr>
        <w:pStyle w:val="TextBody"/>
        <w:bidi w:val="0"/>
        <w:spacing w:before="120"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assumptions for volatility, expected life, dividend yield and risk-free interest rate are presented in the table below:</w:t>
      </w:r>
    </w:p>
    <w:p>
      <w:pPr>
        <w:pStyle w:val="TextBody"/>
        <w:bidi w:val="0"/>
        <w:jc w:val="both"/>
        <w:rPr/>
      </w:pPr>
      <w:r>
        <w:rPr/>
        <w:t> </w:t>
      </w:r>
    </w:p>
    <w:tbl>
      <w:tblPr>
        <w:tblW w:w="5455" w:type="dxa"/>
        <w:jc w:val="left"/>
        <w:tblInd w:w="0" w:type="dxa"/>
        <w:tblLayout w:type="fixed"/>
        <w:tblCellMar>
          <w:top w:w="28" w:type="dxa"/>
          <w:left w:w="28" w:type="dxa"/>
          <w:bottom w:w="28" w:type="dxa"/>
          <w:right w:w="28" w:type="dxa"/>
        </w:tblCellMar>
      </w:tblPr>
      <w:tblGrid>
        <w:gridCol w:w="2131"/>
        <w:gridCol w:w="146"/>
        <w:gridCol w:w="1471"/>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years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3.70 - 4.09%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5.04-6.06</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113.26-127.03%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112.17 -170.50%</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pPr>
            <w:r>
              <w:rPr>
                <w:color w:val="000000"/>
              </w:rPr>
              <w:t>—</w:t>
            </w:r>
            <w:r>
              <w:rPr>
                <w:rFonts w:ascii="Times New Roman" w:hAnsi="Times New Roman"/>
                <w:color w:val="000000"/>
                <w:sz w:val="20"/>
              </w:rPr>
              <w:t>%</w:t>
            </w:r>
          </w:p>
        </w:tc>
      </w:tr>
    </w:tbl>
    <w:p>
      <w:pPr>
        <w:pStyle w:val="TextBody"/>
        <w:bidi w:val="0"/>
        <w:spacing w:before="240" w:after="283"/>
        <w:jc w:val="both"/>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10. Employee Benefit Plan</w:t>
      </w:r>
    </w:p>
    <w:p>
      <w:pPr>
        <w:pStyle w:val="TextBody"/>
        <w:bidi w:val="0"/>
        <w:jc w:val="both"/>
        <w:rPr>
          <w:rFonts w:ascii="Times New Roman" w:hAnsi="Times New Roman"/>
          <w:color w:val="000000"/>
          <w:sz w:val="20"/>
        </w:rPr>
      </w:pPr>
      <w:r>
        <w:rPr>
          <w:rFonts w:ascii="Times New Roman" w:hAnsi="Times New Roman"/>
          <w:color w:val="000000"/>
          <w:sz w:val="20"/>
        </w:rPr>
        <w:t>The Company sponsors a qualified 401(k) retirement plan under which employees are allowed to contribute certain percentages of their pay, up to the maximum allowed under Section 401(k) of the IRC, or the 401(k) Plan. The Company may make contributions to the 401(k) Plan at its discretion. The Company contributed approximately $13 and $0 to the 401(k) Plan during the year ended December 31, 2025 and 2024, respectively.</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11. Segment Information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CODM for the Company is the Chief Executive Officer (the "CEO"). The Company’s CEO reviews operating results on an aggregate basis and manages the Company’s operations as a whole for the purpose of evaluating financial performance and allocating resources. This decision-making process reflects the way in which financial information is regularly reviewed and used by the CODM to evaluate performance, set operational targets, forecast future financial results, and allocate resources. Accordingly, the Company has determined that it has a single reportable and operating segment related to biopharmaceutical research and development.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Company’s CODM assesses financial performance and allocates resources based on operating results which are also reported on the statements of operations. The measure of segment assets is reported on the balance sheet as total assets. The CODM utilizes combined operating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F-19</w:t>
      </w:r>
    </w:p>
    <w:p>
      <w:pPr>
        <w:pStyle w:val="HorizontalLine"/>
        <w:pBdr>
          <w:bottom w:val="double" w:sz="2" w:space="0" w:color="808080"/>
        </w:pBdr>
        <w:bidi w:val="0"/>
        <w:spacing w:before="0" w:after="283"/>
        <w:jc w:val="left"/>
        <w:rPr/>
      </w:pPr>
      <w:r>
        <w:rPr/>
      </w:r>
    </w:p>
    <w:p>
      <w:pPr>
        <w:pStyle w:val="TextBody"/>
        <w:bidi w:val="0"/>
        <w:spacing w:before="240" w:after="283"/>
        <w:jc w:val="left"/>
        <w:rPr/>
      </w:pPr>
      <w:hyperlink w:anchor="toc_page">
        <w:r>
          <w:rPr>
            <w:rStyle w:val="InternetLink"/>
            <w:rFonts w:ascii="Times New Roman" w:hAnsi="Times New Roman"/>
            <w:b/>
            <w:color w:val="0000FF"/>
            <w:sz w:val="18"/>
            <w:u w:val="single"/>
          </w:rPr>
          <w:t>Table of Contents</w:t>
        </w:r>
      </w:hyperlink>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Alaunos Therapeutics, Inc.</w:t>
      </w:r>
    </w:p>
    <w:p>
      <w:pPr>
        <w:pStyle w:val="TextBody"/>
        <w:bidi w:val="0"/>
        <w:spacing w:before="200" w:after="200"/>
        <w:jc w:val="center"/>
        <w:rPr>
          <w:rFonts w:ascii="Times New Roman" w:hAnsi="Times New Roman"/>
          <w:b/>
          <w:color w:val="000000"/>
          <w:sz w:val="18"/>
        </w:rPr>
      </w:pPr>
      <w:r>
        <w:rPr>
          <w:rFonts w:ascii="Times New Roman" w:hAnsi="Times New Roman"/>
          <w:b/>
          <w:color w:val="000000"/>
          <w:sz w:val="18"/>
        </w:rPr>
        <w:t>NOTES TO FINANCIAL STATEMENTS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data)</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results by comparing actual results against budgeted amounts. As part of this process, net loss is a critical performance measure used to evaluate the Company’s operating performance and guide strategic decisions and resource allocations, including additional investments in research and development. The table below provides information about the Company’s revenue, significant segment expenses and other segment expenses.</w:t>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table below provides information about the Company’s revenue, significant segment expenses and other segment expenses.</w:t>
      </w:r>
    </w:p>
    <w:tbl>
      <w:tblPr>
        <w:tblW w:w="7000" w:type="dxa"/>
        <w:jc w:val="left"/>
        <w:tblInd w:w="0" w:type="dxa"/>
        <w:tblLayout w:type="fixed"/>
        <w:tblCellMar>
          <w:top w:w="28" w:type="dxa"/>
          <w:left w:w="28" w:type="dxa"/>
          <w:bottom w:w="28" w:type="dxa"/>
          <w:right w:w="28" w:type="dxa"/>
        </w:tblCellMar>
      </w:tblPr>
      <w:tblGrid>
        <w:gridCol w:w="3431"/>
        <w:gridCol w:w="146"/>
        <w:gridCol w:w="273"/>
        <w:gridCol w:w="189"/>
        <w:gridCol w:w="819"/>
        <w:gridCol w:w="215"/>
        <w:gridCol w:w="189"/>
        <w:gridCol w:w="273"/>
        <w:gridCol w:w="189"/>
        <w:gridCol w:w="819"/>
        <w:gridCol w:w="166"/>
        <w:gridCol w:w="291"/>
      </w:tblGrid>
      <w:tr>
        <w:trPr/>
        <w:tc>
          <w:tcPr>
            <w:tcW w:w="3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6"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BFE4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BFE4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single" w:sz="4" w:space="0" w:color="000000"/>
            </w:tcBorders>
            <w:shd w:fill="BFE4E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BFE4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15" w:type="dxa"/>
            <w:tcBorders>
              <w:bottom w:val="single" w:sz="4" w:space="0" w:color="000000"/>
            </w:tcBorders>
            <w:shd w:fill="BFE4E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BFE4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08" w:type="dxa"/>
            <w:gridSpan w:val="2"/>
            <w:tcBorders>
              <w:bottom w:val="single" w:sz="4" w:space="0" w:color="000000"/>
            </w:tcBorders>
            <w:shd w:fill="BFE4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BFE4EF" w:val="clear"/>
            <w:tcMar>
              <w:top w:w="0" w:type="dxa"/>
              <w:left w:w="0" w:type="dxa"/>
              <w:right w:w="0" w:type="dxa"/>
            </w:tcMar>
            <w:vAlign w:val="center"/>
          </w:tcPr>
          <w:p>
            <w:pPr>
              <w:pStyle w:val="TableContents"/>
              <w:bidi w:val="0"/>
              <w:spacing w:before="0" w:after="283"/>
              <w:jc w:val="right"/>
              <w:rPr/>
            </w:pPr>
            <w:r>
              <w:rPr/>
              <w:t> </w:t>
            </w:r>
          </w:p>
        </w:tc>
        <w:tc>
          <w:tcPr>
            <w:tcW w:w="291"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1" w:type="dxa"/>
            <w:tcBorders/>
            <w:shd w:fill="BFE4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BFE4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215"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BFE4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FE4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2,867</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BFE4E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operating and segment expense</w:t>
            </w:r>
          </w:p>
        </w:tc>
        <w:tc>
          <w:tcPr>
            <w:tcW w:w="14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BFE4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4,230</w:t>
            </w:r>
          </w:p>
        </w:tc>
        <w:tc>
          <w:tcPr>
            <w:tcW w:w="215"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BFE4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FE4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Plus: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BFE4E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BFE4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15" w:type="dxa"/>
            <w:tcBorders/>
            <w:shd w:fill="BFE4E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BFE4E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BFE4E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431" w:type="dxa"/>
            <w:tcBorders/>
            <w:shd w:fill="BFE4E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(4,176</w:t>
            </w:r>
          </w:p>
        </w:tc>
        <w:tc>
          <w:tcPr>
            <w:tcW w:w="215"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9"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89"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(4,679</w:t>
            </w:r>
          </w:p>
        </w:tc>
        <w:tc>
          <w:tcPr>
            <w:tcW w:w="166" w:type="dxa"/>
            <w:tcBorders>
              <w:bottom w:val="double" w:sz="6" w:space="0" w:color="000000"/>
            </w:tcBorders>
            <w:shd w:fill="BFE4E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91" w:type="dxa"/>
            <w:tcBorders/>
            <w:shd w:fill="BFE4E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12. Subsequent Events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evaluated all events and transactions that occurred after the balance sheet date through the date of this Annual Report on Form 10-K. Other than as described in the notes to the financial statements, the Company did not have any material subsequent events that impacted its financial statements or disclosures.</w:t>
      </w:r>
    </w:p>
    <w:p>
      <w:pPr>
        <w:pStyle w:val="TextBody"/>
        <w:bidi w:val="0"/>
        <w:spacing w:before="120" w:after="283"/>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Director Compensation</w:t>
      </w:r>
    </w:p>
    <w:p>
      <w:pPr>
        <w:pStyle w:val="TextBody"/>
        <w:bidi w:val="0"/>
        <w:jc w:val="both"/>
        <w:rPr>
          <w:rFonts w:ascii="Times New Roman" w:hAnsi="Times New Roman"/>
          <w:color w:val="000000"/>
          <w:sz w:val="20"/>
        </w:rPr>
      </w:pPr>
      <w:r>
        <w:rPr>
          <w:rFonts w:ascii="Times New Roman" w:hAnsi="Times New Roman"/>
          <w:color w:val="000000"/>
          <w:sz w:val="20"/>
        </w:rPr>
        <w:t>On January 12, 2026, members of the Board of Directors of the Company elected to receive compensation in equity rather than in cash for their fourth quarter board service fees. Accordingly, the Company issued 16,867 shares of common stock with an aggregate fair value of $49.</w:t>
      </w:r>
    </w:p>
    <w:p>
      <w:pPr>
        <w:pStyle w:val="TextBody"/>
        <w:bidi w:val="0"/>
        <w:jc w:val="left"/>
        <w:rPr/>
      </w:pPr>
      <w:r>
        <w:rPr/>
        <w:t> </w:t>
      </w:r>
    </w:p>
    <w:p>
      <w:pPr>
        <w:pStyle w:val="TextBody"/>
        <w:bidi w:val="0"/>
        <w:spacing w:before="120" w:after="283"/>
        <w:jc w:val="both"/>
        <w:rPr/>
      </w:pPr>
      <w:r>
        <w:rPr/>
        <w:t> </w:t>
      </w:r>
    </w:p>
    <w:p>
      <w:pPr>
        <w:pStyle w:val="TextBody"/>
        <w:bidi w:val="0"/>
        <w:spacing w:before="200" w:after="283"/>
        <w:jc w:val="center"/>
        <w:rPr>
          <w:rFonts w:ascii="Times New Roman" w:hAnsi="Times New Roman"/>
          <w:color w:val="000000"/>
          <w:sz w:val="18"/>
        </w:rPr>
      </w:pPr>
      <w:r>
        <w:rPr>
          <w:rFonts w:ascii="Times New Roman" w:hAnsi="Times New Roman"/>
          <w:color w:val="000000"/>
          <w:sz w:val="18"/>
        </w:rPr>
        <w:t>F-20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59" w:name="tcrt-ex4_7.htm"/>
      <w:bookmarkStart w:id="60" w:name="kstcrtex4_7"/>
      <w:bookmarkEnd w:id="59"/>
      <w:bookmarkEnd w:id="60"/>
      <w:r>
        <w:rPr>
          <w:rFonts w:ascii="Times New Roman" w:hAnsi="Times New Roman"/>
          <w:b/>
          <w:color w:val="000000"/>
          <w:sz w:val="22"/>
        </w:rPr>
        <w:t>Exhibit 4.7</w:t>
      </w:r>
      <w:r>
        <w:rPr>
          <w:rFonts w:ascii="Times New Roman" w:hAnsi="Times New Roman"/>
          <w:color w:val="000000"/>
          <w:sz w:val="20"/>
        </w:rPr>
        <w:t xml:space="preserve"> </w:t>
      </w:r>
      <w:r>
        <w:br w:type="page"/>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DESCRIPTION OF THE REGISTRANT’S SECURITIES</w:t>
      </w:r>
    </w:p>
    <w:p>
      <w:pPr>
        <w:pStyle w:val="TextBody"/>
        <w:bidi w:val="0"/>
        <w:jc w:val="center"/>
        <w:rPr>
          <w:rFonts w:ascii="Times New Roman" w:hAnsi="Times New Roman"/>
          <w:b/>
          <w:color w:val="000000"/>
          <w:sz w:val="22"/>
        </w:rPr>
      </w:pPr>
      <w:r>
        <w:rPr>
          <w:rFonts w:ascii="Times New Roman" w:hAnsi="Times New Roman"/>
          <w:b/>
          <w:color w:val="000000"/>
          <w:sz w:val="22"/>
        </w:rPr>
        <w:t>REGISTERED PURSUANT TO SECTION 12 OF THE</w:t>
      </w:r>
    </w:p>
    <w:p>
      <w:pPr>
        <w:pStyle w:val="TextBody"/>
        <w:bidi w:val="0"/>
        <w:jc w:val="center"/>
        <w:rPr>
          <w:rFonts w:ascii="Times New Roman" w:hAnsi="Times New Roman"/>
          <w:b/>
          <w:color w:val="000000"/>
          <w:sz w:val="22"/>
        </w:rPr>
      </w:pPr>
      <w:r>
        <w:rPr>
          <w:rFonts w:ascii="Times New Roman" w:hAnsi="Times New Roman"/>
          <w:b/>
          <w:color w:val="000000"/>
          <w:sz w:val="22"/>
        </w:rPr>
        <w:t>SECURITIES EXCHANGE ACT OF 1934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The following description sets forth certain material terms and provisions of the securities of Alaunos Therapeutics, Inc. (the “Company” “we,” “us,” and “our”) that are registered under Section 12 of the Securities Exchange Act of 1934, as amended. This description also summarizes relevant provisions of Delaware law. The following summary does not purport to be complete and is subject to, and is qualified in its entirety by reference to, the applicable provisions of Delaware law and our amended and restated certificate of incorporation and our amended and restated bylaws, copies of which are incorporated by reference as an exhibit to the Annual Report on Form 10-K of which this Exhibit 4.7 is a part, and are incorporated by reference herein. We encourage you to read our certificate of incorporation, our bylaws and the applicable provisions of Delaware law for additional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General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Our authorized capital stock consists of 80,000,000 shares, comprised of 50,000,000 shares of common stock, par value $0.001 per share, and 30,000,000 shares of preferred stock, par value $0.001 per share.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Our common stock is listed on The Nasdaq Stock Market LLC under the trading symbol “TCRT.”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Voting Rights.</w:t>
      </w:r>
      <w:r>
        <w:rPr>
          <w:rFonts w:ascii="Times New Roman" w:hAnsi="Times New Roman"/>
          <w:color w:val="000000"/>
          <w:sz w:val="20"/>
        </w:rPr>
        <w:t xml:space="preserve"> </w:t>
      </w:r>
      <w:r>
        <w:rPr>
          <w:rFonts w:ascii="Times New Roman" w:hAnsi="Times New Roman"/>
          <w:color w:val="000000"/>
          <w:sz w:val="22"/>
        </w:rPr>
        <w:t>The holders of our common stock are entitled to one vote for each outstanding share of common stock owned by such stockholder on every matter properly submitted to the stockholders for their vote. Stockholders are not entitled to vote cumulatively for the election of directors. Because of this, the holders of a majority of the shares of common stock entitled to vote in any election of directors can elect all of the directors standing for election, if they should so choose. At any meeting of the stockholders, a quorum as to any matter shall consist of the holders of a majority of the votes entitled to be cast on the matter, except where a larger quorum is required by law, by our certificate of incorporation or by our bylaws.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Dividend Rights.</w:t>
      </w:r>
      <w:r>
        <w:rPr>
          <w:rFonts w:ascii="Times New Roman" w:hAnsi="Times New Roman"/>
          <w:color w:val="000000"/>
          <w:sz w:val="20"/>
        </w:rPr>
        <w:t xml:space="preserve"> </w:t>
      </w:r>
      <w:r>
        <w:rPr>
          <w:rFonts w:ascii="Times New Roman" w:hAnsi="Times New Roman"/>
          <w:color w:val="000000"/>
          <w:sz w:val="22"/>
        </w:rPr>
        <w:t>Holders of our common stock are entitled to receive ratably dividends and other distributions of cash or any other right or property as may be declared by our board of directors out of our assets or funds legally available for such dividends or distributions. The dividend rights of holders of common stock are subject to the dividend rights of the holders of any series of preferred stock that may be issued and outstanding from time to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Liquidation Rights.</w:t>
      </w:r>
      <w:r>
        <w:rPr>
          <w:rFonts w:ascii="Times New Roman" w:hAnsi="Times New Roman"/>
          <w:color w:val="000000"/>
          <w:sz w:val="20"/>
        </w:rPr>
        <w:t xml:space="preserve"> </w:t>
      </w:r>
      <w:r>
        <w:rPr>
          <w:rFonts w:ascii="Times New Roman" w:hAnsi="Times New Roman"/>
          <w:color w:val="000000"/>
          <w:sz w:val="22"/>
        </w:rPr>
        <w:t>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such time, the holders of such preferred stock may be entitled to distribution and/or liquidation preferences that require us to pay the applicable distribution to the holders of preferred stock before paying distributions to the holders of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2"/>
        </w:rPr>
        <w:t>Rights and Preferences.</w:t>
      </w:r>
      <w:r>
        <w:rPr>
          <w:rFonts w:ascii="Times New Roman" w:hAnsi="Times New Roman"/>
          <w:color w:val="000000"/>
          <w:sz w:val="20"/>
        </w:rPr>
        <w:t xml:space="preserve"> </w:t>
      </w:r>
      <w:r>
        <w:rPr>
          <w:rFonts w:ascii="Times New Roman" w:hAnsi="Times New Roman"/>
          <w:color w:val="000000"/>
          <w:sz w:val="22"/>
        </w:rPr>
        <w:t>Holders of our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our preferred stock that we may designate and issue in the future.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transfer agent and registrar for our common stock is American Stock Transfer &amp; Trust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The transfer agent and registrar for any series of preferred stock will be set forth in the applicable prospectus supplement.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Pursuant to our amended and restated certificate of incorporation, our board of directors has the authority, without stockholder approval, subject to limitations prescribed by law, to provide for the issuance of up to 30,000,000 shares of preferred stock in one or more series, and by filing a certificate pursuant to the applicable law of the State of</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Delaware, to establish from time to time the number of shares to be included in each such series, and to fix the designation, powers, preferences and rights of the shares of each series and any qualifications, limitations or restrictions thereof, and to increase or decrease the number of shares of any such series, but not below the number of shares of such series then outstanding.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Commission, the form of any certificate of designation that describes the terms of the series of preferred stock we are offering before the issuance of that series of preferred stock. This description will include:</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title and stated value;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number of shares offered;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liquidation preference per share;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purchase price per share;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dividend rate(s), period(s) and/or payment date(s) or method(s) of calculation for dividends;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whether dividends are cumulative or non-cumulative and, if cumulative, the date from which dividends will accumulate;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our right, if any, to defer payment of dividends and the maximum length of any such deferral period;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procedures for any auction and remarketing, if any;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provisions for a sinking fund, if any;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provision for redemption or repurchase, if applicable, and any restrictions on our ability to exercise those redemption and repurchase rights;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any listing of the preferred stock on any securities exchange or market;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terms and conditions, if applicable, upon which the preferred stock will be convertible into common stock, including the conversion price (or manner of calculation) and conversion period;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whether the preferred stock will be exchangeable into debt securities, and, if applicable, the exchange price, or how it will be calculated, and the exchange period;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voting rights, if any, of the preferred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preemptive rights, if any;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restrictions on transfer, sale or other assignment, if any;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whether interests in the preferred stock will be represented by depositary shares;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 discussion of any material and/or special U.S. federal income tax considerations applicable to the preferred stock;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the relative ranking and preferences of the preferred stock as to dividend rights and rights upon the liquidation, dissolution or winding up of our affairs; </w:t>
      </w:r>
    </w:p>
    <w:p>
      <w:pPr>
        <w:pStyle w:val="HorizontalLine"/>
        <w:pBdr>
          <w:bottom w:val="double" w:sz="2" w:space="0" w:color="808080"/>
        </w:pBdr>
        <w:bidi w:val="0"/>
        <w:spacing w:before="0" w:after="283"/>
        <w:jc w:val="left"/>
        <w:rPr/>
      </w:pPr>
      <w:r>
        <w:rPr/>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any limitations on issuance of any class or series of preferred stock ranking senior to or on a parity with the class or series of preferred stock as to dividend rights and rights upon liquidation, dissolution or winding up of our affairs;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any other specific terms, preferences, rights, limitations or restrictions of the preferred stock.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laws of the state of Delaware, the state of our incorporation, provide that the holders of preferred stock will have the right to vote separately as a class on any proposal involving fundamental changes in the rights of holders of such preferred stock. This right is in addition to any voting rights that may be provided for in the applicable certificate of designation.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have designated and issued two series of preferred stock that remain outstanding: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Series A-1 Convertible Preferred Stock — 1,000 shares authorized; 500 shares issued and outstanding as of the latest reported date. Each share has a stated value of $1,000, is convertible into common stock at an initial conversion price of $2.76 per share (subject to customary anti-dilution adjustments), and carries a 10% per annum cumulative dividend (payable in kind if declared). Holders are entitled to vote with common stock on an as-converted basis and have participation rights in dividends or distributions declared on common stock.</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Series A-2 Convertible Preferred Stock — 1,000 shares authorized; 850 shares issued and outstanding as of the latest reported date. Each share has a stated value of $1,000, is convertible into common stock at an initial conversion price of $4.49 per share (subject to customary anti-dilution adjustments), and carries a 10% per annum cumulative dividend (payable in kind if declared). Holders are entitled to vote with common stock on an as-converted basis and have participation rights in dividends or distributions declared on common stock.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issuance of preferred stock could adversely affect the voting power or other rights of common stockholders and could have the effect of delaying, deferring, or preventing a change in control. Any preferred stock we issue in the future may rank senior to our common stock with respect to dividends and liquidation preferences.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Anti-Takeover Provisions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Certain provisions of our Certificate of Incorporation, Bylaws, and Delaware law may have the effect of delaying, deferring, or preventing a change in control. These include provisions relating to the ability of our board to issue preferred stock with voting or other rights, the absence of cumulative voting, and other matters described in more detail in our Certificate of Incorporation and Bylaws.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This Exhibit 4.7 does not constitute a complete description of all terms of our securities and is qualified in its entirety by reference to the full text of our Certificate of Incorporation, Bylaws, and the Certificates of Designation for the Series A-1 and Series A-2 Preferred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rPr>
      </w:pPr>
      <w:bookmarkStart w:id="61" w:name="tcrt-ex10_39.htm"/>
      <w:bookmarkStart w:id="62" w:name="kstcrtex10_39"/>
      <w:bookmarkEnd w:id="61"/>
      <w:bookmarkEnd w:id="62"/>
      <w:r>
        <w:rPr>
          <w:rFonts w:ascii="Times New Roman" w:hAnsi="Times New Roman"/>
          <w:b/>
          <w:color w:val="000000"/>
          <w:sz w:val="24"/>
        </w:rPr>
        <w:t>Exhibit 10.62</w:t>
      </w:r>
      <w:r>
        <w:br w:type="page"/>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CONSULTING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Consulting Agreement (this “Agreement”), dated as of February 22, 2024, is made by and between Alaunos Therapeutics, Inc. (the “Company”) and Ferdinand Groenewald (“Consultant”), (together the “Parties”).</w:t>
      </w:r>
    </w:p>
    <w:p>
      <w:pPr>
        <w:pStyle w:val="TextBody"/>
        <w:bidi w:val="0"/>
        <w:spacing w:before="0" w:after="240"/>
        <w:jc w:val="center"/>
        <w:rPr>
          <w:rFonts w:ascii="Times New Roman" w:hAnsi="Times New Roman"/>
          <w:sz w:val="20"/>
        </w:rPr>
      </w:pPr>
      <w:r>
        <w:rPr>
          <w:rFonts w:ascii="Times New Roman" w:hAnsi="Times New Roman"/>
          <w:color w:val="000000"/>
          <w:sz w:val="24"/>
          <w:u w:val="single"/>
        </w:rPr>
        <w:t>W</w:t>
      </w:r>
      <w:r>
        <w:rPr>
          <w:rFonts w:ascii="Times New Roman" w:hAnsi="Times New Roman"/>
          <w:color w:val="000000"/>
          <w:sz w:val="20"/>
        </w:rPr>
        <w:t xml:space="preserve"> </w:t>
      </w:r>
      <w:r>
        <w:rPr>
          <w:rFonts w:ascii="Times New Roman" w:hAnsi="Times New Roman"/>
          <w:color w:val="000000"/>
          <w:sz w:val="24"/>
          <w:u w:val="single"/>
        </w:rPr>
        <w:t>I</w:t>
      </w:r>
      <w:r>
        <w:rPr>
          <w:rFonts w:ascii="Times New Roman" w:hAnsi="Times New Roman"/>
          <w:color w:val="000000"/>
          <w:sz w:val="20"/>
        </w:rPr>
        <w:t xml:space="preserve">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N</w:t>
      </w:r>
      <w:r>
        <w:rPr>
          <w:rFonts w:ascii="Times New Roman" w:hAnsi="Times New Roman"/>
          <w:color w:val="000000"/>
          <w:sz w:val="20"/>
        </w:rPr>
        <w:t xml:space="preserve">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u w:val="single"/>
        </w:rPr>
        <w:t>S</w:t>
      </w:r>
      <w:r>
        <w:rPr>
          <w:rFonts w:ascii="Times New Roman" w:hAnsi="Times New Roman"/>
          <w:color w:val="000000"/>
          <w:sz w:val="20"/>
        </w:rPr>
        <w:t xml:space="preserve"> </w:t>
      </w:r>
      <w:r>
        <w:rPr>
          <w:rFonts w:ascii="Times New Roman" w:hAnsi="Times New Roman"/>
          <w:color w:val="000000"/>
          <w:sz w:val="24"/>
          <w:u w:val="single"/>
        </w:rPr>
        <w:t>S</w:t>
      </w:r>
      <w:r>
        <w:rPr>
          <w:rFonts w:ascii="Times New Roman" w:hAnsi="Times New Roman"/>
          <w:color w:val="000000"/>
          <w:sz w:val="20"/>
        </w:rPr>
        <w:t xml:space="preserve"> </w:t>
      </w:r>
      <w:r>
        <w:rPr>
          <w:rFonts w:ascii="Times New Roman" w:hAnsi="Times New Roman"/>
          <w:color w:val="000000"/>
          <w:sz w:val="24"/>
          <w:u w:val="single"/>
        </w:rPr>
        <w:t>E</w:t>
      </w:r>
      <w:r>
        <w:rPr>
          <w:rFonts w:ascii="Times New Roman" w:hAnsi="Times New Roman"/>
          <w:color w:val="000000"/>
          <w:sz w:val="20"/>
        </w:rPr>
        <w:t xml:space="preserve"> </w:t>
      </w:r>
      <w:r>
        <w:rPr>
          <w:rFonts w:ascii="Times New Roman" w:hAnsi="Times New Roman"/>
          <w:color w:val="000000"/>
          <w:sz w:val="24"/>
          <w:u w:val="single"/>
        </w:rPr>
        <w:t>T</w:t>
      </w:r>
      <w:r>
        <w:rPr>
          <w:rFonts w:ascii="Times New Roman" w:hAnsi="Times New Roman"/>
          <w:color w:val="000000"/>
          <w:sz w:val="20"/>
        </w:rPr>
        <w:t xml:space="preserve"> </w:t>
      </w:r>
      <w:r>
        <w:rPr>
          <w:rFonts w:ascii="Times New Roman" w:hAnsi="Times New Roman"/>
          <w:color w:val="000000"/>
          <w:sz w:val="24"/>
          <w:u w:val="single"/>
        </w:rPr>
        <w:t>H</w:t>
      </w:r>
      <w:r>
        <w:rPr>
          <w:rFonts w:ascii="Times New Roman" w:hAnsi="Times New Roman"/>
          <w:color w:val="000000"/>
          <w:sz w:val="20"/>
        </w:rPr>
        <w:t xml:space="preserve"> </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engage Consultant to provide services pursuant to the terms and conditions contained in this Agreement;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Consultant desires to accept such engagement pursuant to the terms and conditions contained in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and of the mutual covenants and agreements hereinafter contained, the parties agree as follows:</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1.</w:t>
      </w:r>
    </w:p>
    <w:p>
      <w:pPr>
        <w:pStyle w:val="TextBody"/>
        <w:bidi w:val="0"/>
        <w:spacing w:before="0" w:after="240"/>
        <w:jc w:val="both"/>
        <w:rPr/>
      </w:pPr>
      <w:r>
        <w:rPr>
          <w:rFonts w:ascii="Times New Roman" w:hAnsi="Times New Roman"/>
          <w:b/>
          <w:color w:val="000000"/>
          <w:sz w:val="24"/>
          <w:u w:val="single"/>
        </w:rPr>
        <w:t>Term</w:t>
      </w:r>
      <w:r>
        <w:rPr>
          <w:rFonts w:ascii="Times New Roman" w:hAnsi="Times New Roman"/>
          <w:b/>
          <w:color w:val="000000"/>
          <w:sz w:val="24"/>
        </w:rPr>
        <w:t>.</w:t>
      </w:r>
      <w:r>
        <w:rPr>
          <w:color w:val="000000"/>
        </w:rPr>
        <w:t xml:space="preserve"> </w:t>
      </w:r>
      <w:r>
        <w:rPr>
          <w:rFonts w:ascii="Times New Roman" w:hAnsi="Times New Roman"/>
          <w:color w:val="000000"/>
          <w:sz w:val="24"/>
        </w:rPr>
        <w:t>Consultant’s services relationship with the Company will commence on Thursday, February 22, 2023 (the “Start Date”) and will continue indefinitely until terminated in accordance with this Section 1. Either party may terminate this Agreement by providing the other party with at least thirty (30) days of advance written notice of such decision. The period of Consultant’s services relationship with the Company, beginning on the Start Date, is referred to as the “Term.”</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2.</w:t>
      </w:r>
    </w:p>
    <w:p>
      <w:pPr>
        <w:pStyle w:val="TextBody"/>
        <w:bidi w:val="0"/>
        <w:spacing w:before="0" w:after="240"/>
        <w:jc w:val="both"/>
        <w:rPr/>
      </w:pPr>
      <w:r>
        <w:rPr>
          <w:rFonts w:ascii="Times New Roman" w:hAnsi="Times New Roman"/>
          <w:b/>
          <w:color w:val="000000"/>
          <w:sz w:val="24"/>
          <w:u w:val="single"/>
        </w:rPr>
        <w:t>Services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During the Term, Consultant will be responsible for providing the Company with the services set forth on </w:t>
      </w:r>
      <w:r>
        <w:rPr>
          <w:rFonts w:ascii="Times New Roman" w:hAnsi="Times New Roman"/>
          <w:color w:val="000000"/>
          <w:sz w:val="24"/>
          <w:u w:val="single"/>
        </w:rPr>
        <w:t>Exhibit A</w:t>
      </w:r>
      <w:r>
        <w:rPr>
          <w:color w:val="000000"/>
        </w:rPr>
        <w:t xml:space="preserve"> </w:t>
      </w:r>
      <w:r>
        <w:rPr>
          <w:rFonts w:ascii="Times New Roman" w:hAnsi="Times New Roman"/>
          <w:color w:val="000000"/>
          <w:sz w:val="24"/>
        </w:rPr>
        <w:t>hereto and such other services as the Parties may agree to from time to time (the “Services”). Consultant may not subcontract or otherwise delegate Consultant’s obligations under this Agreement without the Company’s prior written consent.</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3.</w:t>
      </w:r>
    </w:p>
    <w:p>
      <w:pPr>
        <w:pStyle w:val="TextBody"/>
        <w:bidi w:val="0"/>
        <w:spacing w:before="0" w:after="240"/>
        <w:jc w:val="both"/>
        <w:rPr/>
      </w:pPr>
      <w:r>
        <w:rPr>
          <w:rFonts w:ascii="Times New Roman" w:hAnsi="Times New Roman"/>
          <w:b/>
          <w:color w:val="000000"/>
          <w:sz w:val="24"/>
          <w:u w:val="single"/>
        </w:rPr>
        <w:t>Compensation</w:t>
      </w:r>
      <w:r>
        <w:rPr>
          <w:rFonts w:ascii="Times New Roman" w:hAnsi="Times New Roman"/>
          <w:b/>
          <w:color w:val="000000"/>
          <w:sz w:val="24"/>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Service Fee</w:t>
      </w:r>
      <w:r>
        <w:rPr>
          <w:rFonts w:ascii="Times New Roman" w:hAnsi="Times New Roman"/>
          <w:color w:val="000000"/>
          <w:sz w:val="24"/>
        </w:rPr>
        <w:t xml:space="preserve">. As sole compensation for the performance of the Services, the Company will pay to Consultant the amount(s) and on the schedule specified in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hereto.</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 Withholdings</w:t>
      </w:r>
      <w:r>
        <w:rPr>
          <w:rFonts w:ascii="Times New Roman" w:hAnsi="Times New Roman"/>
          <w:color w:val="000000"/>
          <w:sz w:val="24"/>
        </w:rPr>
        <w:t>. Consultant acknowledges that the Company does not intend to make withholdings from any payments hereunder. Consultant will have the exclusive responsibility for paying any taxes (including income taxes, social security contributions, and similar obligations) on such payments. At the appropriate time, the Company will provide Consultant with a Form 1099 for Consultant’s tax purposes.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 Benefits</w:t>
      </w:r>
      <w:r>
        <w:rPr>
          <w:rFonts w:ascii="Times New Roman" w:hAnsi="Times New Roman"/>
          <w:color w:val="000000"/>
          <w:sz w:val="24"/>
        </w:rPr>
        <w:t>. The Company will not provide Consultant with any benefits except as provided in this Agreement, nor will Consultant be entitled to participate in any benefit plan or arrangement of the Company or any affiliated entity of the Company, including without limitation any vacation benefit or insurance arrangement (the “Company Benefit Plans”).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4.</w:t>
      </w:r>
    </w:p>
    <w:p>
      <w:pPr>
        <w:pStyle w:val="TextBody"/>
        <w:bidi w:val="0"/>
        <w:spacing w:before="0" w:after="240"/>
        <w:jc w:val="both"/>
        <w:rPr/>
      </w:pPr>
      <w:r>
        <w:rPr>
          <w:rFonts w:ascii="Times New Roman" w:hAnsi="Times New Roman"/>
          <w:b/>
          <w:color w:val="000000"/>
          <w:sz w:val="24"/>
          <w:u w:val="single"/>
        </w:rPr>
        <w:t>Independent Contractor Status</w:t>
      </w:r>
      <w:r>
        <w:rPr>
          <w:rFonts w:ascii="Times New Roman" w:hAnsi="Times New Roman"/>
          <w:b/>
          <w:color w:val="000000"/>
          <w:sz w:val="24"/>
        </w:rPr>
        <w:t>.</w:t>
      </w:r>
      <w:r>
        <w:rPr>
          <w:color w:val="000000"/>
        </w:rPr>
        <w:t xml:space="preserve"> </w:t>
      </w:r>
      <w:r>
        <w:rPr>
          <w:rFonts w:ascii="Times New Roman" w:hAnsi="Times New Roman"/>
          <w:color w:val="000000"/>
          <w:sz w:val="24"/>
        </w:rPr>
        <w:t xml:space="preserve">Consultant acknowledges that, during the Term, Consultant’s relationship with the Company will be that of an independent contractor, and not that of an employee of the Company. Nothing herein will be deemed to establish a partnership, joint venture, or employment relationship between the parties.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jc w:val="both"/>
        <w:rPr/>
      </w:pPr>
      <w:r>
        <w:rPr>
          <w:rFonts w:ascii="Times New Roman" w:hAnsi="Times New Roman"/>
          <w:b/>
          <w:color w:val="000000"/>
          <w:sz w:val="24"/>
          <w:u w:val="single"/>
        </w:rPr>
        <w:t>Confidentiality</w:t>
      </w:r>
      <w:r>
        <w:rPr>
          <w:rFonts w:ascii="Times New Roman" w:hAnsi="Times New Roman"/>
          <w:b/>
          <w:color w:val="000000"/>
          <w:sz w:val="24"/>
        </w:rPr>
        <w:t>.</w:t>
      </w:r>
      <w:r>
        <w:rPr>
          <w:color w:val="000000"/>
        </w:rPr>
        <w:t xml:space="preserve"> </w:t>
      </w:r>
      <w:r>
        <w:rPr>
          <w:rFonts w:ascii="Times New Roman" w:hAnsi="Times New Roman"/>
          <w:color w:val="000000"/>
          <w:sz w:val="22"/>
        </w:rPr>
        <w:t xml:space="preserve">Consultant </w:t>
      </w:r>
      <w:r>
        <w:rPr>
          <w:rFonts w:ascii="Times New Roman" w:hAnsi="Times New Roman"/>
          <w:color w:val="000000"/>
          <w:sz w:val="24"/>
        </w:rPr>
        <w:t>acknowledges</w:t>
      </w:r>
      <w:r>
        <w:rPr>
          <w:color w:val="000000"/>
        </w:rPr>
        <w:t xml:space="preserve"> </w:t>
      </w:r>
      <w:r>
        <w:rPr>
          <w:rFonts w:ascii="Times New Roman" w:hAnsi="Times New Roman"/>
          <w:color w:val="000000"/>
          <w:sz w:val="22"/>
        </w:rPr>
        <w:t xml:space="preserve">and agrees that this Agreement creates a relationship of confidence and trust on the part of Consultant as Consultant provides Services for the benefit of the Company. In the performance of Consultant’s obligations under this Agreement, Consultant and its principals, agents, employees and contractors may receive, create for the Company and/or have access to, among other things, technical, customer, personnel and business information in written, graphic, oral or other tangible forms such as specifications, records, data, computer programs, drawings, models, reports and samples (collectively referred to as “Confidential Information”) owned or controlled by the Company. Such Confidential Information contains material that is proprietary or confidential, or material that is protected by applicable laws regarding secrecy of communications or trade secrets. Accordingly: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2"/>
        </w:rPr>
      </w:pPr>
      <w:r>
        <w:rPr>
          <w:rFonts w:ascii="Times New Roman" w:hAnsi="Times New Roman"/>
          <w:color w:val="000000"/>
          <w:sz w:val="22"/>
        </w:rPr>
        <w:t xml:space="preserve">Consultant recognizes and agrees that nothing in this Agreement will be construed as granting any rights, by license or otherwise, to any Confidential Information or to any inventions or patents, trade secrets, copyrights, trademarks, or other intellectual property right that has issued or that may issue based on such Confidential Information. All Confidential Information (including all copies thereof) will at all times remain the property of the Company and will be immediately returned to the Company after Consultant’s need for it has expired, or upon request of the Company, and in any event, upon completion or termination of the Services to be provided by Consultant. At such time, Consultant shall also erase, delete, or destroy any notes, documents, magnetic media or other computer storage, including system backups, which contain any Confidential Information.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2"/>
        </w:rPr>
      </w:pPr>
      <w:r>
        <w:rPr>
          <w:rFonts w:ascii="Times New Roman" w:hAnsi="Times New Roman"/>
          <w:color w:val="000000"/>
          <w:sz w:val="22"/>
        </w:rPr>
        <w:t>Consultant will advise its principals, employees, agents and contractors who might have access to Confidential Information of the confidential nature thereof and agrees that its employees will be bound by the terms of this Agreement. Consultant will not disclose any Confidential Information to any employee except for those persons who have a need for such information in connection with Consultant rendering the Services and who agree in writing to bound by the provision of this Agreement, nor will it disclose any Confidential Information to any third party without first obtaining the Company’s express written consent, which may be withheld in the sole discretion of the Company. For the purposes of this Sub- section (b), the term “employee” will include, in addition to employees, directors, officers, members, owners, independent contractors, consultants, collaborators and other agents of the Consultant.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2"/>
        </w:rPr>
      </w:pPr>
      <w:r>
        <w:rPr>
          <w:rFonts w:ascii="Times New Roman" w:hAnsi="Times New Roman"/>
          <w:color w:val="000000"/>
          <w:sz w:val="22"/>
        </w:rPr>
        <w:t>The term “Confidential Information” will not include information that Consultant can establish (i) was publicly known and made generally available in the public domain prior to the time of disclosure to Consultant; (ii) becomes publicly known and made generally available after disclosure to Consultant through no action or inaction of Consultant; (iii) is in the possession of Consultant, without confidentiality restrictions, at the time of disclosure by the Company, as shown by Consultant’s files and records immediately prior to the time of disclosure; or (iv) is approved for release by the Company in writing. Moreover, this confidentiality restriction shall not apply to information that is required by law or regulation or required pursuant to a valid order of a court or regulatory agency to be disclosed by Consultant, but only to the limit and extent of such required disclosure, provided that, prior to such disclosure, Consultant provides the Company with prompt written notice of such requirement and the facts and circumstances concerning such requirement and assists the Company in obtaining an order or orders protecting the information from any disclosure or limiting the extent of information to be disclosed.</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w:t>
      </w:r>
    </w:p>
    <w:p>
      <w:pPr>
        <w:pStyle w:val="TextBody"/>
        <w:bidi w:val="0"/>
        <w:jc w:val="both"/>
        <w:rPr/>
      </w:pPr>
      <w:r>
        <w:rPr>
          <w:rFonts w:ascii="Times New Roman" w:hAnsi="Times New Roman"/>
          <w:b/>
          <w:color w:val="000000"/>
          <w:sz w:val="24"/>
          <w:u w:val="single"/>
        </w:rPr>
        <w:t>Intellectual</w:t>
      </w:r>
      <w:r>
        <w:rPr>
          <w:color w:val="000000"/>
        </w:rPr>
        <w:t xml:space="preserve"> </w:t>
      </w:r>
      <w:r>
        <w:rPr>
          <w:rFonts w:ascii="Times New Roman" w:hAnsi="Times New Roman"/>
          <w:b/>
          <w:color w:val="000000"/>
          <w:sz w:val="24"/>
          <w:u w:val="single"/>
        </w:rPr>
        <w:t>Property</w:t>
      </w:r>
      <w:r>
        <w:rPr>
          <w:color w:val="000000"/>
        </w:rPr>
        <w:t xml:space="preserve"> </w:t>
      </w:r>
      <w:r>
        <w:rPr>
          <w:rFonts w:ascii="Times New Roman" w:hAnsi="Times New Roman"/>
          <w:b/>
          <w:color w:val="000000"/>
          <w:sz w:val="24"/>
          <w:u w:val="single"/>
        </w:rPr>
        <w:t>Rights</w:t>
      </w:r>
      <w:r>
        <w:rPr>
          <w:rFonts w:ascii="Times New Roman" w:hAnsi="Times New Roman"/>
          <w:i/>
          <w:color w:val="000000"/>
          <w:sz w:val="22"/>
        </w:rPr>
        <w:t xml:space="preserve">. </w:t>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color w:val="000000"/>
          <w:sz w:val="24"/>
        </w:rPr>
        <w:t xml:space="preserve">(a) </w:t>
      </w:r>
      <w:r>
        <w:rPr>
          <w:rFonts w:ascii="Times New Roman" w:hAnsi="Times New Roman"/>
          <w:color w:val="000000"/>
          <w:sz w:val="22"/>
        </w:rPr>
        <w:t xml:space="preserve">It is the intention of the parties that the Company should own the rights in any materials and work product resulting from the Services. To that end, Consultant shall on the Company’s written request from time to time sign an unconditional assignment with full title guarantee of all rights in any such materials as are owned by Consultant and capable of assignment. Consultant shall also waive any moral rights it may have in the any materials created by Consultant for Company when providing Services.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2"/>
        </w:rPr>
      </w:pPr>
      <w:r>
        <w:rPr>
          <w:rFonts w:ascii="Times New Roman" w:hAnsi="Times New Roman"/>
          <w:color w:val="000000"/>
          <w:sz w:val="22"/>
        </w:rPr>
        <w:t>In addition, any information, know-how, data, results, and inventions, and any associated intellectual property, that is made, discovered, created, invented or generated by Consultant in any activities or work under this Agreement shall be owned by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2"/>
        </w:rPr>
      </w:pPr>
      <w:r>
        <w:rPr>
          <w:rFonts w:ascii="Times New Roman" w:hAnsi="Times New Roman"/>
          <w:color w:val="000000"/>
          <w:sz w:val="22"/>
        </w:rPr>
        <w:t>Consultant acknowledges that the Company does not desire to acquire any trade secrets, know-how, confidential information, or other intellectual property that Consultant may have acquired from or developed for any third parties. In the course of providing the Services, Consultant shall not use or disclose any third party intellectual property, including without limitation any intellectual property of (i) any former or current employer, (ii) any person for whom Consultant has performed or currently performs consulting services, or (iii) any other person to whom Consultant has a legal obligation regarding the use or disclosure of such intellectual property.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2"/>
        </w:rPr>
        <w:t>Consultant agrees to assist in any logistics of future intellectual property that is generated from this Agreement as needed and determined by Consultant, with no compensation solely for such participation, including but not limited signing assignment forms, inventor forms, and advising on substantive matters as needed by and when requested by the Company. Company agrees to pay for any associated expenses, fees, and further patent prosecution.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w:t>
      </w:r>
    </w:p>
    <w:p>
      <w:pPr>
        <w:pStyle w:val="TextBody"/>
        <w:bidi w:val="0"/>
        <w:jc w:val="both"/>
        <w:rPr/>
      </w:pPr>
      <w:r>
        <w:rPr>
          <w:rFonts w:ascii="Times New Roman" w:hAnsi="Times New Roman"/>
          <w:b/>
          <w:color w:val="000000"/>
          <w:sz w:val="24"/>
          <w:u w:val="single"/>
        </w:rPr>
        <w:t>Notices</w:t>
      </w:r>
      <w:r>
        <w:rPr>
          <w:rFonts w:ascii="Times New Roman" w:hAnsi="Times New Roman"/>
          <w:b/>
          <w:color w:val="000000"/>
          <w:sz w:val="24"/>
        </w:rPr>
        <w:t xml:space="preserve">. </w:t>
      </w:r>
      <w:r>
        <w:rPr>
          <w:rFonts w:ascii="Times New Roman" w:hAnsi="Times New Roman"/>
          <w:color w:val="000000"/>
          <w:sz w:val="24"/>
        </w:rPr>
        <w:t>All notices and other communications provided for in this Agreement shall be in writing and shall be deemed to have been duly given (a) when delivered and received by the other party, or (b) two (2) business days after being sent when sent by recognized overnight courier to the following addresses: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the Company:</w:t>
      </w:r>
    </w:p>
    <w:p>
      <w:pPr>
        <w:pStyle w:val="TextBody"/>
        <w:bidi w:val="0"/>
        <w:jc w:val="left"/>
        <w:rPr>
          <w:rFonts w:ascii="Times New Roman" w:hAnsi="Times New Roman"/>
          <w:color w:val="000000"/>
          <w:sz w:val="24"/>
        </w:rPr>
      </w:pPr>
      <w:r>
        <w:rPr>
          <w:rFonts w:ascii="Times New Roman" w:hAnsi="Times New Roman"/>
          <w:color w:val="000000"/>
          <w:sz w:val="24"/>
        </w:rPr>
        <w:t>Alaunos Therapeutics, Inc.</w:t>
      </w:r>
    </w:p>
    <w:p>
      <w:pPr>
        <w:pStyle w:val="TextBody"/>
        <w:bidi w:val="0"/>
        <w:jc w:val="left"/>
        <w:rPr>
          <w:rFonts w:ascii="Times New Roman" w:hAnsi="Times New Roman"/>
          <w:color w:val="000000"/>
          <w:sz w:val="24"/>
        </w:rPr>
      </w:pPr>
      <w:r>
        <w:rPr>
          <w:rFonts w:ascii="Times New Roman" w:hAnsi="Times New Roman"/>
          <w:color w:val="000000"/>
          <w:sz w:val="24"/>
        </w:rPr>
        <w:t>2617 Bissonnet St., Suite 225</w:t>
      </w:r>
    </w:p>
    <w:p>
      <w:pPr>
        <w:pStyle w:val="TextBody"/>
        <w:bidi w:val="0"/>
        <w:jc w:val="left"/>
        <w:rPr>
          <w:rFonts w:ascii="Times New Roman" w:hAnsi="Times New Roman"/>
          <w:color w:val="000000"/>
          <w:sz w:val="24"/>
        </w:rPr>
      </w:pPr>
      <w:r>
        <w:rPr>
          <w:rFonts w:ascii="Times New Roman" w:hAnsi="Times New Roman"/>
          <w:color w:val="000000"/>
          <w:sz w:val="24"/>
        </w:rPr>
        <w:t>Houston TX 77005</w:t>
      </w:r>
    </w:p>
    <w:p>
      <w:pPr>
        <w:pStyle w:val="TextBody"/>
        <w:bidi w:val="0"/>
        <w:jc w:val="left"/>
        <w:rPr>
          <w:rFonts w:ascii="Times New Roman" w:hAnsi="Times New Roman"/>
          <w:color w:val="000000"/>
          <w:sz w:val="24"/>
        </w:rPr>
      </w:pPr>
      <w:r>
        <w:rPr>
          <w:rFonts w:ascii="Times New Roman" w:hAnsi="Times New Roman"/>
          <w:color w:val="000000"/>
          <w:sz w:val="24"/>
        </w:rPr>
        <w:t>Attention: legalteam@alaunos.com;</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to Consultant:</w:t>
      </w:r>
    </w:p>
    <w:p>
      <w:pPr>
        <w:pStyle w:val="TextBody"/>
        <w:bidi w:val="0"/>
        <w:jc w:val="left"/>
        <w:rPr>
          <w:rFonts w:ascii="Times New Roman" w:hAnsi="Times New Roman"/>
          <w:color w:val="000000"/>
          <w:sz w:val="24"/>
        </w:rPr>
      </w:pPr>
      <w:r>
        <w:rPr>
          <w:rFonts w:ascii="Times New Roman" w:hAnsi="Times New Roman"/>
          <w:color w:val="000000"/>
          <w:sz w:val="24"/>
        </w:rPr>
        <w:t>Ferdinand Groenewald</w:t>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or to such other address as either party will have furnished to the other in writing in accordance with this Section 6, except that such notice of change of address shall be effective only upon receipt.</w:t>
      </w:r>
    </w:p>
    <w:p>
      <w:pPr>
        <w:pStyle w:val="TextBody"/>
        <w:bidi w:val="0"/>
        <w:jc w:val="both"/>
        <w:rPr>
          <w:rFonts w:ascii="Times New Roman" w:hAnsi="Times New Roman"/>
          <w:sz w:val="20"/>
        </w:rPr>
      </w:pPr>
      <w:r>
        <w:rPr>
          <w:rFonts w:ascii="Times New Roman" w:hAnsi="Times New Roman"/>
          <w:b/>
          <w:color w:val="000000"/>
          <w:sz w:val="24"/>
          <w:u w:val="single"/>
        </w:rPr>
        <w:t>D&amp;O Insurance</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Company has obtained and shall cause to be maintained in effect during the Term of this Agreement, with financially sound insurers, a policy of directors’ and officers’ liability insurance (the “D&amp;O Policy”). The Company and Consultant acknowledge and agree that, in providing the Services, Consultant will act as an officer of the Company, and the Company and Consultant expect and intend that Consultant shall be covered by the D&amp;O policy under no less favorable terms than any other individual covered</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by the D&amp;O policy. The provisions in this Section 7 shall survive the termination of this Agreement.</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8.</w:t>
      </w:r>
    </w:p>
    <w:p>
      <w:pPr>
        <w:pStyle w:val="TextBody"/>
        <w:bidi w:val="0"/>
        <w:jc w:val="both"/>
        <w:rPr/>
      </w:pPr>
      <w:r>
        <w:rPr>
          <w:rFonts w:ascii="Times New Roman" w:hAnsi="Times New Roman"/>
          <w:b/>
          <w:color w:val="000000"/>
          <w:sz w:val="24"/>
          <w:u w:val="single"/>
        </w:rPr>
        <w:t>Indemnification</w:t>
      </w:r>
      <w:r>
        <w:rPr>
          <w:rFonts w:ascii="Times New Roman" w:hAnsi="Times New Roman"/>
          <w:b/>
          <w:color w:val="000000"/>
          <w:sz w:val="24"/>
        </w:rPr>
        <w:t xml:space="preserve">. </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Company shall defend and indemnify Consultant, to the fullest extent permitted by law against any and all threatened, pending, or completed action, suit, proceeding, or alternative dispute resolution mechanism, whether civil, criminal, administrative, arbitrative, investigative, or other, and whether made pursuant to federal, state, or other law (each, a “Claim”) against Consultant as a result of the Consultant’s performance of the Services or as result of the Consultant’s prior work as an employee and officer of the Company, including without limitation Claims brought by or in the right of the Company, Claims brought by third parties, and Claims in which Consultant is solely a witness.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rPr>
        <w:t>Consultant shall have the right to advancement by the Company, prior to the final disposition of any Claim by final adjudication to which there are no further rights of appeal, of any and all Expenses (as that term is defined below) actually and reasonably paid or incurred by Consultant in connection with any Claim. Consultant’s right to such advancement is not subject to the satisfaction of any standard of conduct. Without limiting the generality or effect of the foregoing, within ten (10) days after any written request by Consultant, the Company shall, in accordance with such request, (a) pay such Expenses on behalf of Consultant, (b) advance to Consultant funds in an amount sufficient to pay such Expenses, or (c) reimburse Consultant for such Expenses. “</w:t>
      </w:r>
      <w:r>
        <w:rPr>
          <w:rFonts w:ascii="Times New Roman" w:hAnsi="Times New Roman"/>
          <w:color w:val="000000"/>
          <w:sz w:val="24"/>
          <w:u w:val="single"/>
        </w:rPr>
        <w:t>Expenses</w:t>
      </w:r>
      <w:r>
        <w:rPr>
          <w:color w:val="000000"/>
        </w:rPr>
        <w:t xml:space="preserve">” </w:t>
      </w:r>
      <w:r>
        <w:rPr>
          <w:rFonts w:ascii="Times New Roman" w:hAnsi="Times New Roman"/>
          <w:color w:val="000000"/>
          <w:sz w:val="24"/>
        </w:rPr>
        <w:t>means any and all expenses, including attorneys’ and experts’ fees, court costs, transcript costs, travel expenses, duplicating, printing, and binding costs, telephone charges, and all other costs and expenses incurred in connection with investigating, defending, being a witness in, or participating in (including on appeal), or preparing to defend, be a witness in, or participate in, any Claim.</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Without limiting the generality or effect of the foregoing, Consultants right to indemnification and advancement of Expenses shall be no less favorable than that of any officer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provisions in this Section 8 shall survive the termination of this Agreement.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9.</w:t>
      </w:r>
    </w:p>
    <w:p>
      <w:pPr>
        <w:pStyle w:val="TextBody"/>
        <w:bidi w:val="0"/>
        <w:jc w:val="both"/>
        <w:rPr/>
      </w:pPr>
      <w:r>
        <w:rPr>
          <w:rFonts w:ascii="Times New Roman" w:hAnsi="Times New Roman"/>
          <w:b/>
          <w:color w:val="000000"/>
          <w:sz w:val="24"/>
          <w:u w:val="single"/>
        </w:rPr>
        <w:t>Miscellaneous</w:t>
      </w:r>
      <w:r>
        <w:rPr>
          <w:rFonts w:ascii="Times New Roman" w:hAnsi="Times New Roman"/>
          <w:b/>
          <w:color w:val="000000"/>
          <w:sz w:val="24"/>
        </w:rPr>
        <w: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In the event that any of the provisions of this Agreement, or the application of any such provisions to Consultant or the Company with respect to obligations hereunder, is held to be unlawful or unenforceable by any court, then the remaining portions of this Agreement shall remain in full force and effect and shall not be invalidated or impaired in any manner.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No waiver by any party of the breach of any term or covenant contained in this Agreement, whether by conduct or otherwise, in any one or more instances, shall be deemed to be, or construed as, a further or continuing waiver of any such breach, or a waiver of any other term or covenant contained in this Agreement.</w:t>
      </w:r>
    </w:p>
    <w:p>
      <w:pPr>
        <w:pStyle w:val="TextBody"/>
        <w:bidi w:val="0"/>
        <w:spacing w:before="0" w:after="240"/>
        <w:jc w:val="both"/>
        <w:rPr>
          <w:rFonts w:ascii="Times New Roman" w:hAnsi="Times New Roman"/>
          <w:sz w:val="20"/>
        </w:rPr>
      </w:pPr>
      <w:r>
        <w:rPr>
          <w:rFonts w:ascii="Times New Roman" w:hAnsi="Times New Roman"/>
          <w:color w:val="000000"/>
          <w:sz w:val="24"/>
        </w:rPr>
        <w:t>(c) This Agreement (including all Exhibits hereto) contains the entire agreement between Consultant and the Company with respect to the subject matter of this Agreement (including all Exhibits hereto), and supersedes any and all prior agreements and understandings, whether verbal or written, between Consultant and the Company with respect to the subject matter</w:t>
      </w:r>
      <w:r>
        <w:rPr>
          <w:rFonts w:ascii="Times New Roman" w:hAnsi="Times New Roman"/>
          <w:color w:val="000000"/>
          <w:sz w:val="20"/>
        </w:rPr>
        <w:t xml:space="preserve">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this Agreement (including all Exhibits hereto). This Agreement may be amended only by an agreement in writing signed by Consultant and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 This Agreement may not be assigned by Consultant or the Company without the other party’s consent, and any such attempted assignment shall be void and of no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 The terms and language of this Agreement are the result of arm’s length negotiations between the parties. Consequently, there shall be no presumption that any ambiguity in this Agreement should be resolved in favor of one party and against another. Any controversy concerning the construction of this Agreement shall be decided neutrally without regard to authorship.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 The titles and headings of sections and subsections contained in this Agreement are included solely for convenience of reference and will not control the meaning or interpretation of any of the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 This Agreement may be executed in any number of counterparts, each of which so executed shall be deemed to be an original, and such counterparts shall together constitute but one agreement. Each party may execute this Agreement in Adobe Portable Document Format or in a similar format (“PDF”) sent by electronic mail. In addition, PDF signatures of authorized signatories of any party will be deemed to be original signatures and will be valid and binding, and delivery of a PDF signature by any party will constitute due execution and delivery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 This Agreement shall be governed by, and construed in accordance with, the laws of Texas, without giving effect to its conflict of laws principles.</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have executed this Agreement effective as of the date first written above.</w:t>
      </w:r>
    </w:p>
    <w:p>
      <w:pPr>
        <w:pStyle w:val="TextBody"/>
        <w:bidi w:val="0"/>
        <w:spacing w:before="0" w:after="240"/>
        <w:jc w:val="left"/>
        <w:rPr>
          <w:rFonts w:ascii="Times New Roman" w:hAnsi="Times New Roman"/>
          <w:sz w:val="20"/>
        </w:rPr>
      </w:pPr>
      <w:r>
        <w:rPr>
          <w:rFonts w:ascii="Times New Roman" w:hAnsi="Times New Roman"/>
          <w:b/>
          <w:color w:val="000000"/>
          <w:sz w:val="24"/>
        </w:rPr>
        <w:t>ALAUNOS THERAPEUTICS, INC.</w:t>
      </w:r>
      <w:r>
        <w:rPr>
          <w:rFonts w:ascii="Times New Roman" w:hAnsi="Times New Roman"/>
          <w:color w:val="000000"/>
          <w:sz w:val="20"/>
        </w:rPr>
        <w:t xml:space="preserve"> </w:t>
      </w:r>
      <w:r>
        <w:rPr>
          <w:rFonts w:ascii="Times New Roman" w:hAnsi="Times New Roman"/>
          <w:b/>
          <w:color w:val="000000"/>
          <w:sz w:val="24"/>
        </w:rPr>
        <w:t>CONSULTANT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_/s/ Dale Curtis Hogue, Jr.</w:t>
      </w:r>
      <w:r>
        <w:rPr>
          <w:rFonts w:ascii="Times New Roman" w:hAnsi="Times New Roman"/>
          <w:color w:val="000000"/>
          <w:sz w:val="20"/>
        </w:rPr>
        <w:t xml:space="preserve"> </w:t>
      </w:r>
      <w:r>
        <w:rPr>
          <w:rFonts w:ascii="Times New Roman" w:hAnsi="Times New Roman"/>
          <w:color w:val="000000"/>
          <w:sz w:val="24"/>
        </w:rPr>
        <w:t>__</w:t>
      </w:r>
      <w:r>
        <w:rPr>
          <w:rFonts w:ascii="Times New Roman" w:hAnsi="Times New Roman"/>
          <w:color w:val="000000"/>
          <w:sz w:val="24"/>
          <w:u w:val="single"/>
        </w:rPr>
        <w:t>/s/ Ferdinand Groenewald</w:t>
      </w:r>
      <w:r>
        <w:rPr>
          <w:rFonts w:ascii="Times New Roman" w:hAnsi="Times New Roman"/>
          <w:color w:val="000000"/>
          <w:sz w:val="24"/>
        </w:rPr>
        <w:t>___</w:t>
      </w:r>
    </w:p>
    <w:p>
      <w:pPr>
        <w:pStyle w:val="TextBody"/>
        <w:bidi w:val="0"/>
        <w:jc w:val="left"/>
        <w:rPr>
          <w:rFonts w:ascii="Times New Roman" w:hAnsi="Times New Roman"/>
          <w:color w:val="000000"/>
          <w:sz w:val="24"/>
        </w:rPr>
      </w:pPr>
      <w:r>
        <w:rPr>
          <w:rFonts w:ascii="Times New Roman" w:hAnsi="Times New Roman"/>
          <w:color w:val="000000"/>
          <w:sz w:val="24"/>
        </w:rPr>
        <w:t>Name: Dale Curtis Hogue, Jr. Name: Ferdinand Groenewald</w:t>
      </w:r>
    </w:p>
    <w:p>
      <w:pPr>
        <w:pStyle w:val="TextBody"/>
        <w:bidi w:val="0"/>
        <w:jc w:val="left"/>
        <w:rPr>
          <w:rFonts w:ascii="Times New Roman" w:hAnsi="Times New Roman"/>
          <w:color w:val="000000"/>
          <w:sz w:val="24"/>
        </w:rPr>
      </w:pPr>
      <w:r>
        <w:rPr>
          <w:rFonts w:ascii="Times New Roman" w:hAnsi="Times New Roman"/>
          <w:color w:val="000000"/>
          <w:sz w:val="24"/>
        </w:rPr>
        <w:t>Title: CEO (interim)</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Description of Services</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Consultant shall lead the accounting and financial reporting function of the Company. Consultant will work directly with the Board of Directors, Company employees and other consultants to ensure proper and complete monthly / quarterly close processes. Consultant will partner with the business in making decisions and promoting continuous improvement. This is a hands-on role that reports directly to the CEO and Board Chair. Further specific responsibilities will include, but not be limited to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Lead accounting and financial reporting activities of the Company in accordance with U.S. GAAP and SEC requirements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Ensure effective financial close process and timely SEC filings (10-Q, 10-K, 8-K, registration statements, etc.)</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Serve as Principal Accounting Officer for the Company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Prepare or review general ledger account reconciliations, including journal entries and supporting documentation, to validate accuracy of reported balances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Responsible for maintaining a strong public company internal control environment in accordance with the provisions of the Sarbanes-Oxley Act within the accounting and reporting function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Serve as U.S. GAAP technical resource, including literature research and application to transactions or processes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Liaise with external tax consultants to ensure compliance with all tax jurisdictions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Review and update accounting policies and procedures to ensure compliance with U.S. GAAP, including the adoption of new accounting pronouncements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Serve as key contact with internal and external auditors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Prepare and present Audit Committee / Board of Directors materials and communications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Manage the treasury function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Equity management with transfer agent and awards in Certent (equity management tool)</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Motivated in taking on tasks beyond formal job responsibilities and ability to work in a dynamic and changing environment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Approve and pay invoices and payroll; ability to execute accounts payable function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Drive the timing for monthly billing and other cash management and expense management techniques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Ongoing financial planning and analysis and financial forecasting processes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Evaluate and present period end analytical reviews of financial information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Provide ad-hoc reporting and analysis</w:t>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Service Fee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Service Fee</w:t>
      </w:r>
      <w:r>
        <w:rPr>
          <w:rFonts w:ascii="Times New Roman" w:hAnsi="Times New Roman"/>
          <w:color w:val="000000"/>
          <w:sz w:val="24"/>
        </w:rPr>
        <w:t>: $15,000 per month rate paid in U.S. dollars by the Company to Consultant for the entire Term of this Agreement, unless otherwise agreed by the Company and Consultant in writing.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Expenses</w:t>
      </w:r>
      <w:r>
        <w:rPr>
          <w:rFonts w:ascii="Times New Roman" w:hAnsi="Times New Roman"/>
          <w:color w:val="000000"/>
          <w:sz w:val="24"/>
        </w:rPr>
        <w:t>: The Company will reimburse Consultant for any usual and customary business expenses as may be reasonably required to provide the services to the Company for the term of this Agreement (e.g. office supplies, travel time and mileage).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Payments to Consultant</w:t>
      </w:r>
      <w:r>
        <w:rPr>
          <w:rFonts w:ascii="Times New Roman" w:hAnsi="Times New Roman"/>
          <w:color w:val="000000"/>
          <w:sz w:val="24"/>
        </w:rPr>
        <w:t>: Consultant will be paid monthly on the first day of the month for services rendered the previous month (or fraction of month for first payment).</w:t>
      </w:r>
    </w:p>
    <w:p>
      <w:pPr>
        <w:pStyle w:val="TextBody"/>
        <w:bidi w:val="0"/>
        <w:jc w:val="both"/>
        <w:rPr/>
      </w:pPr>
      <w:r>
        <w:rPr/>
        <w:t> </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9" w:after="283"/>
        <w:jc w:val="center"/>
        <w:rPr>
          <w:rFonts w:ascii="Times New Roman" w:hAnsi="Times New Roman"/>
          <w:sz w:val="20"/>
        </w:rPr>
      </w:pPr>
      <w:bookmarkStart w:id="63" w:name="tcrt-ex19_1.htm"/>
      <w:bookmarkStart w:id="64" w:name="kstcrtex19_1"/>
      <w:bookmarkEnd w:id="63"/>
      <w:bookmarkEnd w:id="64"/>
      <w:r>
        <w:rPr>
          <w:rFonts w:ascii="Times New Roman" w:hAnsi="Times New Roman"/>
          <w:b/>
          <w:color w:val="000000"/>
          <w:sz w:val="24"/>
        </w:rPr>
        <w:t>A</w:t>
      </w:r>
      <w:r>
        <w:rPr>
          <w:rFonts w:ascii="Times New Roman" w:hAnsi="Times New Roman"/>
          <w:b/>
          <w:color w:val="000000"/>
          <w:sz w:val="19"/>
        </w:rPr>
        <w:t xml:space="preserve">LAUNOS </w:t>
      </w:r>
      <w:r>
        <w:rPr>
          <w:rFonts w:ascii="Times New Roman" w:hAnsi="Times New Roman"/>
          <w:b/>
          <w:color w:val="000000"/>
          <w:sz w:val="24"/>
        </w:rPr>
        <w:t>T</w:t>
      </w:r>
      <w:r>
        <w:rPr>
          <w:rFonts w:ascii="Times New Roman" w:hAnsi="Times New Roman"/>
          <w:b/>
          <w:color w:val="000000"/>
          <w:sz w:val="19"/>
        </w:rPr>
        <w:t>HERAPEUTICS</w:t>
      </w:r>
      <w:r>
        <w:rPr>
          <w:rFonts w:ascii="Times New Roman" w:hAnsi="Times New Roman"/>
          <w:b/>
          <w:color w:val="000000"/>
          <w:sz w:val="24"/>
        </w:rPr>
        <w:t>, I</w:t>
      </w:r>
      <w:r>
        <w:rPr>
          <w:rFonts w:ascii="Times New Roman" w:hAnsi="Times New Roman"/>
          <w:b/>
          <w:color w:val="000000"/>
          <w:sz w:val="19"/>
        </w:rPr>
        <w:t>NC</w:t>
      </w:r>
      <w:r>
        <w:rPr>
          <w:rFonts w:ascii="Times New Roman" w:hAnsi="Times New Roman"/>
          <w:b/>
          <w:color w:val="000000"/>
          <w:sz w:val="24"/>
        </w:rPr>
        <w:t>. I</w:t>
      </w:r>
      <w:r>
        <w:rPr>
          <w:rFonts w:ascii="Times New Roman" w:hAnsi="Times New Roman"/>
          <w:b/>
          <w:color w:val="000000"/>
          <w:sz w:val="19"/>
        </w:rPr>
        <w:t xml:space="preserve">NSIDER </w:t>
      </w:r>
      <w:r>
        <w:rPr>
          <w:rFonts w:ascii="Times New Roman" w:hAnsi="Times New Roman"/>
          <w:b/>
          <w:color w:val="000000"/>
          <w:sz w:val="24"/>
        </w:rPr>
        <w:t>T</w:t>
      </w:r>
      <w:r>
        <w:rPr>
          <w:rFonts w:ascii="Times New Roman" w:hAnsi="Times New Roman"/>
          <w:b/>
          <w:color w:val="000000"/>
          <w:sz w:val="19"/>
        </w:rPr>
        <w:t xml:space="preserve">RADING </w:t>
      </w:r>
      <w:r>
        <w:rPr>
          <w:rFonts w:ascii="Times New Roman" w:hAnsi="Times New Roman"/>
          <w:b/>
          <w:color w:val="000000"/>
          <w:sz w:val="24"/>
        </w:rPr>
        <w:t>P</w:t>
      </w:r>
      <w:r>
        <w:rPr>
          <w:rFonts w:ascii="Times New Roman" w:hAnsi="Times New Roman"/>
          <w:b/>
          <w:color w:val="000000"/>
          <w:sz w:val="19"/>
        </w:rPr>
        <w:t>OLICY</w:t>
      </w:r>
      <w:r>
        <w:br w:type="page"/>
      </w:r>
    </w:p>
    <w:p>
      <w:pPr>
        <w:pStyle w:val="TextBody"/>
        <w:bidi w:val="0"/>
        <w:jc w:val="left"/>
        <w:rPr/>
      </w:pPr>
      <w:r>
        <w:rPr/>
        <w:t> </w:t>
      </w:r>
    </w:p>
    <w:p>
      <w:pPr>
        <w:pStyle w:val="TextBody"/>
        <w:bidi w:val="0"/>
        <w:spacing w:before="69" w:after="283"/>
        <w:jc w:val="left"/>
        <w:rPr>
          <w:rFonts w:ascii="Times New Roman" w:hAnsi="Times New Roman"/>
          <w:sz w:val="20"/>
        </w:rPr>
      </w:pPr>
      <w:r>
        <w:rPr>
          <w:rFonts w:ascii="Times New Roman" w:hAnsi="Times New Roman"/>
          <w:b/>
          <w:color w:val="000000"/>
          <w:sz w:val="24"/>
        </w:rPr>
        <w:t>I</w:t>
      </w:r>
      <w:r>
        <w:rPr>
          <w:rFonts w:ascii="Times New Roman" w:hAnsi="Times New Roman"/>
          <w:b/>
          <w:color w:val="000000"/>
          <w:sz w:val="19"/>
        </w:rPr>
        <w:t>NTRODUCTION</w:t>
      </w:r>
    </w:p>
    <w:p>
      <w:pPr>
        <w:pStyle w:val="TextBody"/>
        <w:bidi w:val="0"/>
        <w:jc w:val="both"/>
        <w:rPr>
          <w:rFonts w:ascii="Times New Roman" w:hAnsi="Times New Roman"/>
          <w:sz w:val="20"/>
        </w:rPr>
      </w:pPr>
      <w:r>
        <w:rPr>
          <w:rFonts w:ascii="Times New Roman" w:hAnsi="Times New Roman"/>
          <w:color w:val="000000"/>
          <w:sz w:val="24"/>
        </w:rPr>
        <w:t>During the course of your relationship with Alaunos Therapeutics, Inc.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you may receive material information that is not yet publicly available (“</w:t>
      </w:r>
      <w:r>
        <w:rPr>
          <w:rFonts w:ascii="Times New Roman" w:hAnsi="Times New Roman"/>
          <w:b/>
          <w:i/>
          <w:color w:val="000000"/>
          <w:sz w:val="24"/>
        </w:rPr>
        <w:t>material nonpublic information</w:t>
      </w:r>
      <w:r>
        <w:rPr>
          <w:rFonts w:ascii="Times New Roman" w:hAnsi="Times New Roman"/>
          <w:color w:val="000000"/>
          <w:sz w:val="20"/>
        </w:rPr>
        <w:t>”</w:t>
      </w:r>
      <w:r>
        <w:rPr>
          <w:rFonts w:ascii="Times New Roman" w:hAnsi="Times New Roman"/>
          <w:color w:val="000000"/>
          <w:sz w:val="24"/>
        </w:rPr>
        <w:t>) about the Company or other publicly-traded companies that the Company has business relationships with. Material nonpublic information may give you, or someone you pass that information on to, a leg up over others when deciding whether to buy, sell or otherwise transact in the Company’s securities or the securities of another publicly-traded company. This policy sets forth guidelines with respect to transactions in the Company’s securities by our Covered Persons (as defined below) and the other persons subject to this policy as described below, including employees, officers, directors and consultants who are advised that they are subject to this policy (“</w:t>
      </w:r>
      <w:r>
        <w:rPr>
          <w:rFonts w:ascii="Times New Roman" w:hAnsi="Times New Roman"/>
          <w:b/>
          <w:i/>
          <w:color w:val="000000"/>
          <w:sz w:val="24"/>
        </w:rPr>
        <w:t>designated consultants</w:t>
      </w:r>
      <w:r>
        <w:rPr>
          <w:rFonts w:ascii="Times New Roman" w:hAnsi="Times New Roman"/>
          <w:color w:val="000000"/>
          <w:sz w:val="20"/>
        </w:rPr>
        <w:t>”</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b/>
          <w:color w:val="000000"/>
          <w:sz w:val="24"/>
        </w:rPr>
        <w:t>S</w:t>
      </w:r>
      <w:r>
        <w:rPr>
          <w:rFonts w:ascii="Times New Roman" w:hAnsi="Times New Roman"/>
          <w:b/>
          <w:color w:val="000000"/>
          <w:sz w:val="19"/>
        </w:rPr>
        <w:t xml:space="preserve">TATEMENT OF </w:t>
      </w:r>
      <w:r>
        <w:rPr>
          <w:rFonts w:ascii="Times New Roman" w:hAnsi="Times New Roman"/>
          <w:b/>
          <w:color w:val="000000"/>
          <w:sz w:val="24"/>
        </w:rPr>
        <w:t>P</w:t>
      </w:r>
      <w:r>
        <w:rPr>
          <w:rFonts w:ascii="Times New Roman" w:hAnsi="Times New Roman"/>
          <w:b/>
          <w:color w:val="000000"/>
          <w:sz w:val="19"/>
        </w:rPr>
        <w:t>OLICY</w:t>
      </w:r>
    </w:p>
    <w:p>
      <w:pPr>
        <w:pStyle w:val="TextBody"/>
        <w:bidi w:val="0"/>
        <w:jc w:val="both"/>
        <w:rPr>
          <w:rFonts w:ascii="Times New Roman" w:hAnsi="Times New Roman"/>
          <w:sz w:val="20"/>
        </w:rPr>
      </w:pPr>
      <w:r>
        <w:rPr>
          <w:rFonts w:ascii="Times New Roman" w:hAnsi="Times New Roman"/>
          <w:color w:val="000000"/>
          <w:sz w:val="24"/>
        </w:rPr>
        <w:t xml:space="preserve">It is the policy of the Company that a Covered Person (or any other person subject to this policy) who is aware of material nonpublic information relating to the Company </w:t>
      </w:r>
      <w:r>
        <w:rPr>
          <w:rFonts w:ascii="Times New Roman" w:hAnsi="Times New Roman"/>
          <w:b/>
          <w:color w:val="000000"/>
          <w:sz w:val="24"/>
        </w:rPr>
        <w:t>may not</w:t>
      </w:r>
      <w:r>
        <w:rPr>
          <w:rFonts w:ascii="Times New Roman" w:hAnsi="Times New Roman"/>
          <w:color w:val="000000"/>
          <w:sz w:val="24"/>
        </w:rPr>
        <w:t>, directly or indirectly:</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engage in any transactions in the Company’s securities, except as otherwise specified under the heading “Exceptions to this Policy” below;</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recommend the purchase or sale of any the Company’s securities;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engage in any other action to take personal advantage of that information, including but not limited to, passing on or “tipping” that information to someone who uses it for personal gain, regardless of whether there is any personal gain by the Covered Person or the quantity of securities traded;</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disclose material nonpublic information to persons within the Company whose jobs do not require them to have that information, or outside of the Company to other persons, such as family, friends, business associates and investors, unless the disclosure is made in accordance with the Company’s policies regarding the protection or authorized external disclosure of information regarding the Company; or</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assist anyone engaged in the above activities.</w:t>
      </w:r>
    </w:p>
    <w:p>
      <w:pPr>
        <w:pStyle w:val="TextBody"/>
        <w:bidi w:val="0"/>
        <w:jc w:val="both"/>
        <w:rPr>
          <w:rFonts w:ascii="Times New Roman" w:hAnsi="Times New Roman"/>
          <w:sz w:val="20"/>
        </w:rPr>
      </w:pPr>
      <w:r>
        <w:rPr>
          <w:rFonts w:ascii="Times New Roman" w:hAnsi="Times New Roman"/>
          <w:color w:val="000000"/>
          <w:sz w:val="24"/>
        </w:rPr>
        <w:t xml:space="preserve">The prohibition against insider trading is absolute. It applies </w:t>
      </w:r>
      <w:r>
        <w:rPr>
          <w:rFonts w:ascii="Times New Roman" w:hAnsi="Times New Roman"/>
          <w:b/>
          <w:i/>
          <w:color w:val="000000"/>
          <w:sz w:val="24"/>
        </w:rPr>
        <w:t xml:space="preserve">even if </w:t>
      </w:r>
      <w:r>
        <w:rPr>
          <w:rFonts w:ascii="Times New Roman" w:hAnsi="Times New Roman"/>
          <w:color w:val="000000"/>
          <w:sz w:val="24"/>
        </w:rPr>
        <w:t xml:space="preserve">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w:t>
      </w:r>
      <w:r>
        <w:rPr>
          <w:rFonts w:ascii="Times New Roman" w:hAnsi="Times New Roman"/>
          <w:b/>
          <w:color w:val="000000"/>
          <w:sz w:val="24"/>
        </w:rPr>
        <w:t xml:space="preserve">any </w:t>
      </w:r>
      <w:r>
        <w:rPr>
          <w:rFonts w:ascii="Times New Roman" w:hAnsi="Times New Roman"/>
          <w:color w:val="000000"/>
          <w:sz w:val="24"/>
        </w:rPr>
        <w:t>material nonpublic information relating to the Company at the time of the transaction.</w:t>
      </w:r>
    </w:p>
    <w:p>
      <w:pPr>
        <w:pStyle w:val="TextBody"/>
        <w:bidi w:val="0"/>
        <w:jc w:val="both"/>
        <w:rPr>
          <w:rFonts w:ascii="Times New Roman" w:hAnsi="Times New Roman"/>
          <w:color w:val="000000"/>
          <w:sz w:val="24"/>
        </w:rPr>
      </w:pPr>
      <w:r>
        <w:rPr>
          <w:rFonts w:ascii="Times New Roman" w:hAnsi="Times New Roman"/>
          <w:color w:val="000000"/>
          <w:sz w:val="24"/>
        </w:rPr>
        <w:t>The U.S. federal securities laws do not recognize any mitigating circumstances to insider trading. In addition, even the appearance of an improper transaction must be avoided to preserve</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color w:val="000000"/>
          <w:sz w:val="24"/>
        </w:rPr>
      </w:pPr>
      <w:r>
        <w:rPr>
          <w:rFonts w:ascii="Times New Roman" w:hAnsi="Times New Roman"/>
          <w:color w:val="000000"/>
          <w:sz w:val="24"/>
        </w:rPr>
        <w:t>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p>
    <w:p>
      <w:pPr>
        <w:pStyle w:val="TextBody"/>
        <w:bidi w:val="0"/>
        <w:jc w:val="both"/>
        <w:rPr>
          <w:rFonts w:ascii="Times New Roman" w:hAnsi="Times New Roman"/>
          <w:sz w:val="20"/>
        </w:rPr>
      </w:pPr>
      <w:r>
        <w:rPr>
          <w:rFonts w:ascii="Times New Roman" w:hAnsi="Times New Roman"/>
          <w:color w:val="000000"/>
          <w:sz w:val="24"/>
        </w:rPr>
        <w:t>It is also important to note that the laws prohibiting insider trading are not limited to trading by the insider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 xml:space="preserve">alone; advising others to trade on the basis of material nonpublic information is illegal and squarely prohibited by this policy. Liability in such cases can extend both to the “tippee”—the person to whom the insider disclosed material nonpublic information—and to the “tipper,” the insider himself or herself. In such cases, you can be held liable for your own transactions, as well as the transactions by a tippee and even the transactions of a tippee’s tippee. Tipping is illegal even if you do not personally make a trade or otherwise financially benefit from disclosing the information. For these and other reasons, it is the policy of the Company that no Covered Person (or any other person subject to this policy) may either (a) recommend to another person that they buy, hold or sell the Company’s securities </w:t>
      </w:r>
      <w:r>
        <w:rPr>
          <w:rFonts w:ascii="Times New Roman" w:hAnsi="Times New Roman"/>
          <w:b/>
          <w:color w:val="000000"/>
          <w:sz w:val="24"/>
        </w:rPr>
        <w:t xml:space="preserve">at any time </w:t>
      </w:r>
      <w:r>
        <w:rPr>
          <w:rFonts w:ascii="Times New Roman" w:hAnsi="Times New Roman"/>
          <w:color w:val="000000"/>
          <w:sz w:val="24"/>
        </w:rPr>
        <w:t>or (b) disclose material nonpublic information to persons within the Company whose jobs do not require them to have that information, or outside of the Company to other persons (unless the disclosure is made in accordance with the Company’s policies regarding the protection or authorized external disclosure of information regarding the Company).</w:t>
      </w:r>
    </w:p>
    <w:p>
      <w:pPr>
        <w:pStyle w:val="TextBody"/>
        <w:bidi w:val="0"/>
        <w:jc w:val="both"/>
        <w:rPr>
          <w:rFonts w:ascii="Times New Roman" w:hAnsi="Times New Roman"/>
          <w:color w:val="000000"/>
          <w:sz w:val="24"/>
        </w:rPr>
      </w:pPr>
      <w:r>
        <w:rPr>
          <w:rFonts w:ascii="Times New Roman" w:hAnsi="Times New Roman"/>
          <w:color w:val="000000"/>
          <w:sz w:val="24"/>
        </w:rPr>
        <w:t>In addition, it is the policy of the Company that no Covered Person (or any other person subject to this policy) who, in the course of working for the Company, learns of or is otherwise aware of material nonpublic information about another publicly-traded company with which the Company does business or otherwise has a relationship, including a supplier, partner or collaborator of the Company, may trade in that company’s securities until the information becomes public or is no longer material.</w:t>
      </w:r>
    </w:p>
    <w:p>
      <w:pPr>
        <w:pStyle w:val="TextBody"/>
        <w:bidi w:val="0"/>
        <w:jc w:val="left"/>
        <w:rPr>
          <w:rFonts w:ascii="Times New Roman" w:hAnsi="Times New Roman"/>
          <w:color w:val="000000"/>
          <w:sz w:val="24"/>
        </w:rPr>
      </w:pPr>
      <w:r>
        <w:rPr>
          <w:rFonts w:ascii="Times New Roman" w:hAnsi="Times New Roman"/>
          <w:color w:val="000000"/>
          <w:sz w:val="24"/>
        </w:rPr>
        <w:t>There are no exceptions to this policy, except as specifically noted above or below.</w:t>
      </w:r>
    </w:p>
    <w:p>
      <w:pPr>
        <w:pStyle w:val="TextBody"/>
        <w:bidi w:val="0"/>
        <w:jc w:val="both"/>
        <w:rPr>
          <w:rFonts w:ascii="Times New Roman" w:hAnsi="Times New Roman"/>
          <w:color w:val="000000"/>
          <w:sz w:val="24"/>
        </w:rPr>
      </w:pPr>
      <w:r>
        <w:rPr>
          <w:rFonts w:ascii="Times New Roman" w:hAnsi="Times New Roman"/>
          <w:color w:val="000000"/>
          <w:sz w:val="24"/>
        </w:rPr>
        <w:t>Because insider trading law is complex, you should contact the head of the Legal Department (the “Chief Legal Officer”) if you have any questions about whether information in your possession is material or nonpublic or if a proposed transaction or communication would violate the insider trading laws. You must also report any unauthorized disclosure of material nonpublic information, whether inadvertent or otherwise, immediately to the Chief Legal Officer.</w:t>
      </w:r>
    </w:p>
    <w:p>
      <w:pPr>
        <w:pStyle w:val="TextBody"/>
        <w:bidi w:val="0"/>
        <w:jc w:val="both"/>
        <w:rPr>
          <w:rFonts w:ascii="Times New Roman" w:hAnsi="Times New Roman"/>
          <w:sz w:val="20"/>
        </w:rPr>
      </w:pPr>
      <w:r>
        <w:rPr>
          <w:rFonts w:ascii="Times New Roman" w:hAnsi="Times New Roman"/>
          <w:b/>
          <w:color w:val="000000"/>
          <w:sz w:val="24"/>
        </w:rPr>
        <w:t>T</w:t>
      </w:r>
      <w:r>
        <w:rPr>
          <w:rFonts w:ascii="Times New Roman" w:hAnsi="Times New Roman"/>
          <w:b/>
          <w:color w:val="000000"/>
          <w:sz w:val="19"/>
        </w:rPr>
        <w:t xml:space="preserve">RANSACTIONS </w:t>
      </w:r>
      <w:r>
        <w:rPr>
          <w:rFonts w:ascii="Times New Roman" w:hAnsi="Times New Roman"/>
          <w:b/>
          <w:color w:val="000000"/>
          <w:sz w:val="24"/>
        </w:rPr>
        <w:t>S</w:t>
      </w:r>
      <w:r>
        <w:rPr>
          <w:rFonts w:ascii="Times New Roman" w:hAnsi="Times New Roman"/>
          <w:b/>
          <w:color w:val="000000"/>
          <w:sz w:val="19"/>
        </w:rPr>
        <w:t xml:space="preserve">UBJECT TO THIS </w:t>
      </w:r>
      <w:r>
        <w:rPr>
          <w:rFonts w:ascii="Times New Roman" w:hAnsi="Times New Roman"/>
          <w:b/>
          <w:color w:val="000000"/>
          <w:sz w:val="24"/>
        </w:rPr>
        <w:t>P</w:t>
      </w:r>
      <w:r>
        <w:rPr>
          <w:rFonts w:ascii="Times New Roman" w:hAnsi="Times New Roman"/>
          <w:b/>
          <w:color w:val="000000"/>
          <w:sz w:val="19"/>
        </w:rPr>
        <w:t>OLICY</w:t>
      </w:r>
    </w:p>
    <w:p>
      <w:pPr>
        <w:pStyle w:val="TextBody"/>
        <w:bidi w:val="0"/>
        <w:jc w:val="both"/>
        <w:rPr>
          <w:rFonts w:ascii="Times New Roman" w:hAnsi="Times New Roman"/>
          <w:sz w:val="20"/>
        </w:rPr>
      </w:pPr>
      <w:r>
        <w:rPr>
          <w:rFonts w:ascii="Times New Roman" w:hAnsi="Times New Roman"/>
          <w:color w:val="000000"/>
          <w:sz w:val="24"/>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hAnsi="Times New Roman"/>
          <w:b/>
          <w:i/>
          <w:color w:val="000000"/>
          <w:sz w:val="24"/>
        </w:rPr>
        <w:t>trade</w:t>
      </w:r>
      <w:r>
        <w:rPr>
          <w:rFonts w:ascii="Times New Roman" w:hAnsi="Times New Roman"/>
          <w:color w:val="000000"/>
          <w:sz w:val="24"/>
        </w:rPr>
        <w:t>,” “</w:t>
      </w:r>
      <w:r>
        <w:rPr>
          <w:rFonts w:ascii="Times New Roman" w:hAnsi="Times New Roman"/>
          <w:b/>
          <w:i/>
          <w:color w:val="000000"/>
          <w:sz w:val="24"/>
        </w:rPr>
        <w:t>trading</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i/>
          <w:color w:val="000000"/>
          <w:sz w:val="24"/>
        </w:rPr>
        <w:t>transactions</w:t>
      </w:r>
      <w:r>
        <w:rPr>
          <w:rFonts w:ascii="Times New Roman" w:hAnsi="Times New Roman"/>
          <w:color w:val="000000"/>
          <w:sz w:val="20"/>
        </w:rPr>
        <w:t xml:space="preserve">” </w:t>
      </w:r>
      <w:r>
        <w:rPr>
          <w:rFonts w:ascii="Times New Roman" w:hAnsi="Times New Roman"/>
          <w:color w:val="000000"/>
          <w:sz w:val="24"/>
        </w:rPr>
        <w:t>include not only purchases and sales of the Company’s common stock in the public market but also any other purchases, sales, transfers or other acquisitions and dispositions of common or preferred equity, options, warrants and other securities (including debt securities) and other arrangements or transactions that affect economic exposure to changes in the prices of these securities. This policy also applies to securities of other companies about which you learn material nonpublic information during the course of your relationship with the Company.</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left"/>
        <w:rPr>
          <w:rFonts w:ascii="Times New Roman" w:hAnsi="Times New Roman"/>
          <w:sz w:val="20"/>
        </w:rPr>
      </w:pPr>
      <w:r>
        <w:rPr>
          <w:rFonts w:ascii="Times New Roman" w:hAnsi="Times New Roman"/>
          <w:b/>
          <w:color w:val="000000"/>
          <w:sz w:val="24"/>
        </w:rPr>
        <w:t>P</w:t>
      </w:r>
      <w:r>
        <w:rPr>
          <w:rFonts w:ascii="Times New Roman" w:hAnsi="Times New Roman"/>
          <w:b/>
          <w:color w:val="000000"/>
          <w:sz w:val="19"/>
        </w:rPr>
        <w:t xml:space="preserve">ERSONS </w:t>
      </w:r>
      <w:r>
        <w:rPr>
          <w:rFonts w:ascii="Times New Roman" w:hAnsi="Times New Roman"/>
          <w:b/>
          <w:color w:val="000000"/>
          <w:sz w:val="24"/>
        </w:rPr>
        <w:t>S</w:t>
      </w:r>
      <w:r>
        <w:rPr>
          <w:rFonts w:ascii="Times New Roman" w:hAnsi="Times New Roman"/>
          <w:b/>
          <w:color w:val="000000"/>
          <w:sz w:val="19"/>
        </w:rPr>
        <w:t xml:space="preserve">UBJECT TO THIS </w:t>
      </w:r>
      <w:r>
        <w:rPr>
          <w:rFonts w:ascii="Times New Roman" w:hAnsi="Times New Roman"/>
          <w:b/>
          <w:color w:val="000000"/>
          <w:sz w:val="24"/>
        </w:rPr>
        <w:t>P</w:t>
      </w:r>
      <w:r>
        <w:rPr>
          <w:rFonts w:ascii="Times New Roman" w:hAnsi="Times New Roman"/>
          <w:b/>
          <w:color w:val="000000"/>
          <w:sz w:val="19"/>
        </w:rPr>
        <w:t>OLICY</w:t>
      </w:r>
    </w:p>
    <w:p>
      <w:pPr>
        <w:pStyle w:val="TextBody"/>
        <w:bidi w:val="0"/>
        <w:jc w:val="both"/>
        <w:rPr>
          <w:rFonts w:ascii="Times New Roman" w:hAnsi="Times New Roman"/>
          <w:sz w:val="20"/>
        </w:rPr>
      </w:pPr>
      <w:r>
        <w:rPr>
          <w:rFonts w:ascii="Times New Roman" w:hAnsi="Times New Roman"/>
          <w:color w:val="000000"/>
          <w:sz w:val="24"/>
        </w:rPr>
        <w:t>This policy applies to you and all other employees (permanent or temporary, salaried or hourly), officers, directors, external contractors and designated consultants of the Company and its subsidiaries (collectively, “</w:t>
      </w:r>
      <w:r>
        <w:rPr>
          <w:rFonts w:ascii="Times New Roman" w:hAnsi="Times New Roman"/>
          <w:b/>
          <w:i/>
          <w:color w:val="000000"/>
          <w:sz w:val="24"/>
        </w:rPr>
        <w:t>Covered Persons</w:t>
      </w:r>
      <w:r>
        <w:rPr>
          <w:rFonts w:ascii="Times New Roman" w:hAnsi="Times New Roman"/>
          <w:color w:val="000000"/>
          <w:sz w:val="20"/>
        </w:rPr>
        <w:t>”</w:t>
      </w:r>
      <w:r>
        <w:rPr>
          <w:rFonts w:ascii="Times New Roman" w:hAnsi="Times New Roman"/>
          <w:color w:val="000000"/>
          <w:sz w:val="24"/>
        </w:rPr>
        <w:t>). This policy also applies to members of your immediate family, any other members of your family, persons with whom you share a household, persons who are your economic dependents and any other individuals or entities whose transactions in securities you or your family members influence, direct or control (including, e.g., venture or other investment funds, partnerships, corporations, trusts, and limited liability corporations). The foregoing persons who are deemed subject to this policy are referred to in this policy as “</w:t>
      </w:r>
      <w:r>
        <w:rPr>
          <w:rFonts w:ascii="Times New Roman" w:hAnsi="Times New Roman"/>
          <w:b/>
          <w:i/>
          <w:color w:val="000000"/>
          <w:sz w:val="24"/>
        </w:rPr>
        <w:t>Related Persons</w:t>
      </w:r>
      <w:r>
        <w:rPr>
          <w:rFonts w:ascii="Times New Roman" w:hAnsi="Times New Roman"/>
          <w:color w:val="000000"/>
          <w:sz w:val="24"/>
        </w:rPr>
        <w:t>.” You are responsible for making sure that your Related Persons comply with this policy.</w:t>
      </w:r>
    </w:p>
    <w:p>
      <w:pPr>
        <w:pStyle w:val="TextBody"/>
        <w:bidi w:val="0"/>
        <w:jc w:val="left"/>
        <w:rPr>
          <w:rFonts w:ascii="Times New Roman" w:hAnsi="Times New Roman"/>
          <w:sz w:val="20"/>
        </w:rPr>
      </w:pPr>
      <w:r>
        <w:rPr>
          <w:rFonts w:ascii="Times New Roman" w:hAnsi="Times New Roman"/>
          <w:b/>
          <w:color w:val="000000"/>
          <w:sz w:val="24"/>
        </w:rPr>
        <w:t>M</w:t>
      </w:r>
      <w:r>
        <w:rPr>
          <w:rFonts w:ascii="Times New Roman" w:hAnsi="Times New Roman"/>
          <w:b/>
          <w:color w:val="000000"/>
          <w:sz w:val="19"/>
        </w:rPr>
        <w:t xml:space="preserve">ATERIAL </w:t>
      </w:r>
      <w:r>
        <w:rPr>
          <w:rFonts w:ascii="Times New Roman" w:hAnsi="Times New Roman"/>
          <w:b/>
          <w:color w:val="000000"/>
          <w:sz w:val="24"/>
        </w:rPr>
        <w:t>N</w:t>
      </w:r>
      <w:r>
        <w:rPr>
          <w:rFonts w:ascii="Times New Roman" w:hAnsi="Times New Roman"/>
          <w:b/>
          <w:color w:val="000000"/>
          <w:sz w:val="19"/>
        </w:rPr>
        <w:t xml:space="preserve">ONPUBLIC </w:t>
      </w:r>
      <w:r>
        <w:rPr>
          <w:rFonts w:ascii="Times New Roman" w:hAnsi="Times New Roman"/>
          <w:b/>
          <w:color w:val="000000"/>
          <w:sz w:val="24"/>
        </w:rPr>
        <w:t>I</w:t>
      </w:r>
      <w:r>
        <w:rPr>
          <w:rFonts w:ascii="Times New Roman" w:hAnsi="Times New Roman"/>
          <w:b/>
          <w:color w:val="000000"/>
          <w:sz w:val="19"/>
        </w:rPr>
        <w:t>NFORMATION</w:t>
      </w:r>
    </w:p>
    <w:p>
      <w:pPr>
        <w:pStyle w:val="TextBody"/>
        <w:bidi w:val="0"/>
        <w:jc w:val="left"/>
        <w:rPr>
          <w:rFonts w:ascii="Times New Roman" w:hAnsi="Times New Roman"/>
          <w:i/>
          <w:color w:val="000000"/>
          <w:sz w:val="24"/>
        </w:rPr>
      </w:pPr>
      <w:r>
        <w:rPr>
          <w:rFonts w:ascii="Times New Roman" w:hAnsi="Times New Roman"/>
          <w:i/>
          <w:color w:val="000000"/>
          <w:sz w:val="24"/>
        </w:rPr>
        <w:t>Material information</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It is not always easy to figure out whether you are aware of material nonpublic information. But there is one important factor to determine whether nonpublic information you know about a public company is material: whetherthe information could be expected to affect the market price of that company’s securities or to be considered important by investors who are considering trading that company’s securities. If the information makes you want to trade, it would probably have the same effect on others. Keep in mind that both positive and negative information can be material.</w:t>
      </w:r>
    </w:p>
    <w:p>
      <w:pPr>
        <w:pStyle w:val="TextBody"/>
        <w:bidi w:val="0"/>
        <w:jc w:val="both"/>
        <w:rPr>
          <w:rFonts w:ascii="Times New Roman" w:hAnsi="Times New Roman"/>
          <w:color w:val="000000"/>
          <w:sz w:val="24"/>
        </w:rPr>
      </w:pPr>
      <w:r>
        <w:rPr>
          <w:rFonts w:ascii="Times New Roman" w:hAnsi="Times New Roman"/>
          <w:color w:val="000000"/>
          <w:sz w:val="24"/>
        </w:rPr>
        <w:t>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financial results or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status of product or product candidate development or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clinical data relating to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design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timelines for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acquisitions or dispositions of assets, divisions or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public or private sales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stock splits, dividends or changes in dividend policy;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establishment of a repurchase program for the Company’s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gain or loss of a significant licensor, licensee or supplier;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changes or new corporate partner relationships or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notice of issuance or denial of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regulatory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management or control changes;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names of candidates under consideration for roles in management;</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8" w:after="283"/>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employee layoffs;</w:t>
      </w:r>
    </w:p>
    <w:p>
      <w:pPr>
        <w:pStyle w:val="TextBody"/>
        <w:bidi w:val="0"/>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a disruption in the Company’s operations or breach or unauthorized access of its property or assets, including its facilities and information technology infrastructure;</w:t>
      </w:r>
    </w:p>
    <w:p>
      <w:pPr>
        <w:pStyle w:val="TextBody"/>
        <w:bidi w:val="0"/>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tender offers or proxy fights;</w:t>
      </w:r>
    </w:p>
    <w:p>
      <w:pPr>
        <w:pStyle w:val="TextBody"/>
        <w:bidi w:val="0"/>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accounting restatements;</w:t>
      </w:r>
    </w:p>
    <w:p>
      <w:pPr>
        <w:pStyle w:val="TextBody"/>
        <w:bidi w:val="0"/>
        <w:spacing w:before="1" w:after="283"/>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meeting materials provided to the Board of Directors;</w:t>
      </w:r>
    </w:p>
    <w:p>
      <w:pPr>
        <w:pStyle w:val="TextBody"/>
        <w:bidi w:val="0"/>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litigation or settlements; and</w:t>
      </w:r>
    </w:p>
    <w:p>
      <w:pPr>
        <w:pStyle w:val="TextBody"/>
        <w:bidi w:val="0"/>
        <w:jc w:val="left"/>
        <w:rPr>
          <w:rFonts w:ascii="Times New Roman" w:hAnsi="Times New Roman"/>
          <w:sz w:val="20"/>
        </w:rPr>
      </w:pPr>
      <w:r>
        <w:rPr>
          <w:rFonts w:ascii="Symbol;serif" w:hAnsi="Symbol;serif"/>
          <w:color w:val="000000"/>
          <w:sz w:val="24"/>
        </w:rPr>
        <w:t>·</w:t>
      </w:r>
      <w:r>
        <w:rPr>
          <w:rFonts w:ascii="Times New Roman" w:hAnsi="Times New Roman"/>
          <w:color w:val="000000"/>
          <w:sz w:val="20"/>
        </w:rPr>
        <w:t xml:space="preserve"> </w:t>
      </w:r>
      <w:r>
        <w:rPr>
          <w:rFonts w:ascii="Times New Roman" w:hAnsi="Times New Roman"/>
          <w:color w:val="000000"/>
          <w:sz w:val="24"/>
        </w:rPr>
        <w:t>impending bankruptcy.</w:t>
      </w:r>
    </w:p>
    <w:p>
      <w:pPr>
        <w:pStyle w:val="TextBody"/>
        <w:bidi w:val="0"/>
        <w:jc w:val="left"/>
        <w:rPr>
          <w:rFonts w:ascii="Times New Roman" w:hAnsi="Times New Roman"/>
          <w:i/>
          <w:color w:val="000000"/>
          <w:sz w:val="24"/>
        </w:rPr>
      </w:pPr>
      <w:r>
        <w:rPr>
          <w:rFonts w:ascii="Times New Roman" w:hAnsi="Times New Roman"/>
          <w:i/>
          <w:color w:val="000000"/>
          <w:sz w:val="24"/>
        </w:rPr>
        <w:t>When information is considered nonpublic</w:t>
      </w:r>
    </w:p>
    <w:p>
      <w:pPr>
        <w:pStyle w:val="TextBody"/>
        <w:bidi w:val="0"/>
        <w:jc w:val="both"/>
        <w:rPr>
          <w:rFonts w:ascii="Times New Roman" w:hAnsi="Times New Roman"/>
          <w:sz w:val="20"/>
        </w:rPr>
      </w:pPr>
      <w:r>
        <w:rPr>
          <w:rFonts w:ascii="Times New Roman" w:hAnsi="Times New Roman"/>
          <w:color w:val="000000"/>
          <w:sz w:val="24"/>
        </w:rPr>
        <w:t>The prohibition on trading when you have material nonpublic information lifts once that information becomes widely disseminated to the public, such as through a press release carried over a major news service,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color w:val="000000"/>
          <w:sz w:val="24"/>
        </w:rPr>
        <w:t>a filing with the Securities and Exchange Commission (the “</w:t>
      </w:r>
      <w:r>
        <w:rPr>
          <w:rFonts w:ascii="Times New Roman" w:hAnsi="Times New Roman"/>
          <w:b/>
          <w:i/>
          <w:color w:val="000000"/>
          <w:sz w:val="24"/>
        </w:rPr>
        <w:t>SEC</w:t>
      </w:r>
      <w:r>
        <w:rPr>
          <w:rFonts w:ascii="Times New Roman" w:hAnsi="Times New Roman"/>
          <w:color w:val="000000"/>
          <w:sz w:val="20"/>
        </w:rPr>
        <w:t>”</w:t>
      </w:r>
      <w:r>
        <w:rPr>
          <w:rFonts w:ascii="Times New Roman" w:hAnsi="Times New Roman"/>
          <w:color w:val="000000"/>
          <w:sz w:val="24"/>
        </w:rPr>
        <w:t>), or materials sent to stockholders (e.g., a proxy statement or a widely-disseminated prospectus). Once information is widely disseminated to the public, it is still necessary to afford the investing public with sufficient time to absorb the information. Generally speaking, information will be considered widely disseminated to the public for purposes of this policy only after two full trading days have elapsed since the information was publicly disclosed. For example, if we announce material nonpublic information before trading begins on Wednesday, then such information could be considered to no longer be nonpublic under this policy beginning on Friday; if we announce material nonpublic information after trading ends onWednesday, then such information could be considered to no longer be nonpublic under this policy beginning on Monday. Depending on the particular circumstances, the Company may determine that a longer or shorter waiting period should apply to the release of specific material nonpublic information.</w:t>
      </w:r>
    </w:p>
    <w:p>
      <w:pPr>
        <w:pStyle w:val="TextBody"/>
        <w:bidi w:val="0"/>
        <w:jc w:val="both"/>
        <w:rPr>
          <w:rFonts w:ascii="Times New Roman" w:hAnsi="Times New Roman"/>
          <w:color w:val="000000"/>
          <w:sz w:val="24"/>
        </w:rPr>
      </w:pPr>
      <w:r>
        <w:rPr>
          <w:rFonts w:ascii="Times New Roman" w:hAnsi="Times New Roman"/>
          <w:color w:val="000000"/>
          <w:sz w:val="24"/>
        </w:rPr>
        <w:t>The distribution of information through narrower channels, such as postings on rarely- frequented websites, may be insufficient to make it public. Also, the fact that nonpublic information is reflected in rumors in the marketplace does not mean that the information has been publicly disseminated. It is important to note that even after some information regarding a matter becomes public, many aspects relating to such matter may remain nonpublic.</w:t>
      </w:r>
    </w:p>
    <w:p>
      <w:pPr>
        <w:pStyle w:val="TextBody"/>
        <w:bidi w:val="0"/>
        <w:jc w:val="left"/>
        <w:rPr>
          <w:rFonts w:ascii="Times New Roman" w:hAnsi="Times New Roman"/>
          <w:sz w:val="20"/>
        </w:rPr>
      </w:pPr>
      <w:r>
        <w:rPr>
          <w:rFonts w:ascii="Times New Roman" w:hAnsi="Times New Roman"/>
          <w:b/>
          <w:color w:val="000000"/>
          <w:sz w:val="24"/>
        </w:rPr>
        <w:t>Q</w:t>
      </w:r>
      <w:r>
        <w:rPr>
          <w:rFonts w:ascii="Times New Roman" w:hAnsi="Times New Roman"/>
          <w:b/>
          <w:color w:val="000000"/>
          <w:sz w:val="19"/>
        </w:rPr>
        <w:t xml:space="preserve">UARTERLY </w:t>
      </w:r>
      <w:r>
        <w:rPr>
          <w:rFonts w:ascii="Times New Roman" w:hAnsi="Times New Roman"/>
          <w:b/>
          <w:color w:val="000000"/>
          <w:sz w:val="24"/>
        </w:rPr>
        <w:t>T</w:t>
      </w:r>
      <w:r>
        <w:rPr>
          <w:rFonts w:ascii="Times New Roman" w:hAnsi="Times New Roman"/>
          <w:b/>
          <w:color w:val="000000"/>
          <w:sz w:val="19"/>
        </w:rPr>
        <w:t xml:space="preserve">RADING </w:t>
      </w:r>
      <w:r>
        <w:rPr>
          <w:rFonts w:ascii="Times New Roman" w:hAnsi="Times New Roman"/>
          <w:b/>
          <w:color w:val="000000"/>
          <w:sz w:val="24"/>
        </w:rPr>
        <w:t>B</w:t>
      </w:r>
      <w:r>
        <w:rPr>
          <w:rFonts w:ascii="Times New Roman" w:hAnsi="Times New Roman"/>
          <w:b/>
          <w:color w:val="000000"/>
          <w:sz w:val="19"/>
        </w:rPr>
        <w:t>LACKOUTS</w:t>
      </w:r>
    </w:p>
    <w:p>
      <w:pPr>
        <w:pStyle w:val="TextBody"/>
        <w:bidi w:val="0"/>
        <w:jc w:val="both"/>
        <w:rPr>
          <w:rFonts w:ascii="Times New Roman" w:hAnsi="Times New Roman"/>
          <w:sz w:val="20"/>
        </w:rPr>
      </w:pPr>
      <w:r>
        <w:rPr>
          <w:rFonts w:ascii="Times New Roman" w:hAnsi="Times New Roman"/>
          <w:color w:val="000000"/>
          <w:sz w:val="24"/>
        </w:rPr>
        <w:t>Because our workplace culture tends to be open, odds are that the vast majority of Covered Persons will possess material nonpublic information at certain points during the year. To minimize even the appearance of insider trading among Covered Persons, we have established “</w:t>
      </w:r>
      <w:r>
        <w:rPr>
          <w:rFonts w:ascii="Times New Roman" w:hAnsi="Times New Roman"/>
          <w:b/>
          <w:i/>
          <w:color w:val="000000"/>
          <w:sz w:val="24"/>
        </w:rPr>
        <w:t>quarterly trading blackout periods</w:t>
      </w:r>
      <w:r>
        <w:rPr>
          <w:rFonts w:ascii="Times New Roman" w:hAnsi="Times New Roman"/>
          <w:color w:val="000000"/>
          <w:sz w:val="20"/>
        </w:rPr>
        <w:t xml:space="preserve">” </w:t>
      </w:r>
      <w:r>
        <w:rPr>
          <w:rFonts w:ascii="Times New Roman" w:hAnsi="Times New Roman"/>
          <w:color w:val="000000"/>
          <w:sz w:val="24"/>
        </w:rPr>
        <w:t xml:space="preserve">during which Covered Persons and their Related Persons—regardless of whether they are aware of material nonpublic information or not—may notconduct any trades in the Company’s securities. That means that, except as described in this policy, </w:t>
      </w:r>
      <w:r>
        <w:rPr>
          <w:rFonts w:ascii="Times New Roman" w:hAnsi="Times New Roman"/>
          <w:color w:val="000000"/>
          <w:sz w:val="24"/>
          <w:u w:val="single"/>
        </w:rPr>
        <w:t xml:space="preserve">all </w:t>
      </w:r>
      <w:r>
        <w:rPr>
          <w:rFonts w:ascii="Times New Roman" w:hAnsi="Times New Roman"/>
          <w:color w:val="000000"/>
          <w:sz w:val="24"/>
        </w:rPr>
        <w:t xml:space="preserve">Covered Persons and their Related Persons will be able to trade in the Company’s securities </w:t>
      </w:r>
      <w:r>
        <w:rPr>
          <w:rFonts w:ascii="Times New Roman" w:hAnsi="Times New Roman"/>
          <w:color w:val="000000"/>
          <w:sz w:val="24"/>
          <w:u w:val="single"/>
        </w:rPr>
        <w:t xml:space="preserve">only </w:t>
      </w:r>
      <w:r>
        <w:rPr>
          <w:rFonts w:ascii="Times New Roman" w:hAnsi="Times New Roman"/>
          <w:color w:val="000000"/>
          <w:sz w:val="24"/>
        </w:rPr>
        <w:t>during limited open trading window periods that generally will begin after two full trading days have elapsed since the public dissemination of the Company’s annual or quarterly financial results and end at the beginning of the next quarterly trading blackout period. Of course, even during an open trading window period, you may not (unless an exception applies) conduct any trades in the Company’s securities if you are otherwise in possession of material nonpublic information.</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color w:val="000000"/>
          <w:sz w:val="24"/>
        </w:rPr>
      </w:pPr>
      <w:r>
        <w:rPr>
          <w:rFonts w:ascii="Times New Roman" w:hAnsi="Times New Roman"/>
          <w:color w:val="000000"/>
          <w:sz w:val="24"/>
        </w:rPr>
        <w:t>For purposes of this policy, each quarterly trading blackout period will generally begin at the end of the day that is the last day of each fiscal quarter and end after two full trading days have elapsed since the public dissemination of the Company’s financial results for that quarter. Please note that the quarterly trading blackout period may commence early or may be extended if, in the judgment of the Chief Executive Officer, President, principal accounting officer or Chief Legal Officer, there exists undisclosed information that would make trades by Covered Persons and their Related Persons inappropriate. It is important to note that the fact that the quarterly trading blackout period has commenced early or has been extended should be considered material nonpublic information that should not be communicated to any other person.</w:t>
      </w:r>
    </w:p>
    <w:p>
      <w:pPr>
        <w:pStyle w:val="TextBody"/>
        <w:bidi w:val="0"/>
        <w:jc w:val="both"/>
        <w:rPr>
          <w:rFonts w:ascii="Times New Roman" w:hAnsi="Times New Roman"/>
          <w:color w:val="000000"/>
          <w:sz w:val="24"/>
        </w:rPr>
      </w:pPr>
      <w:r>
        <w:rPr>
          <w:rFonts w:ascii="Times New Roman" w:hAnsi="Times New Roman"/>
          <w:color w:val="000000"/>
          <w:sz w:val="24"/>
        </w:rPr>
        <w:t>A Covered Person who believes that special circumstances require him or her or any of his or her Related Persons to trade during a quarterly trading blackout period should consult the Chief Legal Officer. Permission to trade during a quarterly trading blackout period will be granted only where the circumstances are extenuating, the Chief Legal Officer concludes that the person is not in fact aware of any material nonpublic information relating to the Company or its securities, and there appears to be no significant risk that the trade may subsequently be questioned.</w:t>
      </w:r>
    </w:p>
    <w:p>
      <w:pPr>
        <w:pStyle w:val="TextBody"/>
        <w:bidi w:val="0"/>
        <w:jc w:val="left"/>
        <w:rPr>
          <w:rFonts w:ascii="Times New Roman" w:hAnsi="Times New Roman"/>
          <w:sz w:val="20"/>
        </w:rPr>
      </w:pPr>
      <w:r>
        <w:rPr>
          <w:rFonts w:ascii="Times New Roman" w:hAnsi="Times New Roman"/>
          <w:b/>
          <w:color w:val="000000"/>
          <w:sz w:val="24"/>
        </w:rPr>
        <w:t>E</w:t>
      </w:r>
      <w:r>
        <w:rPr>
          <w:rFonts w:ascii="Times New Roman" w:hAnsi="Times New Roman"/>
          <w:b/>
          <w:color w:val="000000"/>
          <w:sz w:val="19"/>
        </w:rPr>
        <w:t>VENT</w:t>
      </w:r>
      <w:r>
        <w:rPr>
          <w:rFonts w:ascii="Times New Roman" w:hAnsi="Times New Roman"/>
          <w:b/>
          <w:color w:val="000000"/>
          <w:sz w:val="24"/>
        </w:rPr>
        <w:t>-S</w:t>
      </w:r>
      <w:r>
        <w:rPr>
          <w:rFonts w:ascii="Times New Roman" w:hAnsi="Times New Roman"/>
          <w:b/>
          <w:color w:val="000000"/>
          <w:sz w:val="19"/>
        </w:rPr>
        <w:t xml:space="preserve">PECIFIC </w:t>
      </w:r>
      <w:r>
        <w:rPr>
          <w:rFonts w:ascii="Times New Roman" w:hAnsi="Times New Roman"/>
          <w:b/>
          <w:color w:val="000000"/>
          <w:sz w:val="24"/>
        </w:rPr>
        <w:t>T</w:t>
      </w:r>
      <w:r>
        <w:rPr>
          <w:rFonts w:ascii="Times New Roman" w:hAnsi="Times New Roman"/>
          <w:b/>
          <w:color w:val="000000"/>
          <w:sz w:val="19"/>
        </w:rPr>
        <w:t xml:space="preserve">RADING </w:t>
      </w:r>
      <w:r>
        <w:rPr>
          <w:rFonts w:ascii="Times New Roman" w:hAnsi="Times New Roman"/>
          <w:b/>
          <w:color w:val="000000"/>
          <w:sz w:val="24"/>
        </w:rPr>
        <w:t>B</w:t>
      </w:r>
      <w:r>
        <w:rPr>
          <w:rFonts w:ascii="Times New Roman" w:hAnsi="Times New Roman"/>
          <w:b/>
          <w:color w:val="000000"/>
          <w:sz w:val="19"/>
        </w:rPr>
        <w:t>LACKOUTS</w:t>
      </w:r>
    </w:p>
    <w:p>
      <w:pPr>
        <w:pStyle w:val="TextBody"/>
        <w:bidi w:val="0"/>
        <w:jc w:val="both"/>
        <w:rPr>
          <w:rFonts w:ascii="Times New Roman" w:hAnsi="Times New Roman"/>
          <w:sz w:val="20"/>
        </w:rPr>
      </w:pPr>
      <w:r>
        <w:rPr>
          <w:rFonts w:ascii="Times New Roman" w:hAnsi="Times New Roman"/>
          <w:color w:val="000000"/>
          <w:sz w:val="24"/>
        </w:rPr>
        <w:t>From time to time, an event may occur that is material to the Company and is known by only a few directors,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officers and/or employees. So long as the event remains material and nonpublic, the persons designated by the Chief Executive Officer, President, principal accounting officer or Chief Legal Officer may not trade in the Company’s securities, regardless of whether there is a quarterly trading blackout period in effect. In that situation, the Company will notify the designated individuals that neither they nor their Related Persons may trade in the Company’s securities until they are informed otherwise. The existence of an event-specific trading blackout should also be considered material nonpublic information andshould not be communicated to any otherperson. Even if you have not been designated as a person who should not trade due to an event-specific trading blackout, you may not trade while aware of material nonpublic information. Exceptions will not be granted during an event-specific trading blackout. The Company will notify designated individuals at the end of such event-specific trading blackout.</w:t>
      </w:r>
    </w:p>
    <w:p>
      <w:pPr>
        <w:pStyle w:val="TextBody"/>
        <w:bidi w:val="0"/>
        <w:jc w:val="both"/>
        <w:rPr>
          <w:rFonts w:ascii="Times New Roman" w:hAnsi="Times New Roman"/>
          <w:color w:val="000000"/>
          <w:sz w:val="24"/>
        </w:rPr>
      </w:pPr>
      <w:r>
        <w:rPr>
          <w:rFonts w:ascii="Times New Roman" w:hAnsi="Times New Roman"/>
          <w:color w:val="000000"/>
          <w:sz w:val="24"/>
        </w:rPr>
        <w:t>The quarterly and event-driven trading blackouts do not apply to those transactions to which this policy does not apply, as described under the heading “Exceptions to this Policy” below.</w:t>
      </w:r>
    </w:p>
    <w:p>
      <w:pPr>
        <w:pStyle w:val="TextBody"/>
        <w:bidi w:val="0"/>
        <w:jc w:val="left"/>
        <w:rPr>
          <w:rFonts w:ascii="Times New Roman" w:hAnsi="Times New Roman"/>
          <w:sz w:val="20"/>
        </w:rPr>
      </w:pPr>
      <w:r>
        <w:rPr>
          <w:rFonts w:ascii="Times New Roman" w:hAnsi="Times New Roman"/>
          <w:b/>
          <w:color w:val="000000"/>
          <w:sz w:val="24"/>
        </w:rPr>
        <w:t>E</w:t>
      </w:r>
      <w:r>
        <w:rPr>
          <w:rFonts w:ascii="Times New Roman" w:hAnsi="Times New Roman"/>
          <w:b/>
          <w:color w:val="000000"/>
          <w:sz w:val="19"/>
        </w:rPr>
        <w:t xml:space="preserve">XCEPTIONS TO THIS </w:t>
      </w:r>
      <w:r>
        <w:rPr>
          <w:rFonts w:ascii="Times New Roman" w:hAnsi="Times New Roman"/>
          <w:b/>
          <w:color w:val="000000"/>
          <w:sz w:val="24"/>
        </w:rPr>
        <w:t>P</w:t>
      </w:r>
      <w:r>
        <w:rPr>
          <w:rFonts w:ascii="Times New Roman" w:hAnsi="Times New Roman"/>
          <w:b/>
          <w:color w:val="000000"/>
          <w:sz w:val="19"/>
        </w:rPr>
        <w:t>OLICY</w:t>
      </w:r>
    </w:p>
    <w:p>
      <w:pPr>
        <w:pStyle w:val="TextBody"/>
        <w:bidi w:val="0"/>
        <w:jc w:val="both"/>
        <w:rPr>
          <w:rFonts w:ascii="Times New Roman" w:hAnsi="Times New Roman"/>
          <w:color w:val="000000"/>
          <w:sz w:val="24"/>
        </w:rPr>
      </w:pPr>
      <w:r>
        <w:rPr>
          <w:rFonts w:ascii="Times New Roman" w:hAnsi="Times New Roman"/>
          <w:color w:val="000000"/>
          <w:sz w:val="24"/>
        </w:rPr>
        <w:t>This policy does not apply in the case of the following transactions, except as specifically noted:</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1.</w:t>
      </w:r>
    </w:p>
    <w:p>
      <w:pPr>
        <w:pStyle w:val="TextBody"/>
        <w:bidi w:val="0"/>
        <w:spacing w:before="120" w:after="283"/>
        <w:jc w:val="both"/>
        <w:rPr/>
      </w:pPr>
      <w:r>
        <w:rPr>
          <w:rFonts w:ascii="Times New Roman" w:hAnsi="Times New Roman"/>
          <w:b/>
          <w:i/>
          <w:color w:val="000000"/>
          <w:sz w:val="24"/>
        </w:rPr>
        <w:t>Option Exercises</w:t>
      </w:r>
      <w:r>
        <w:rPr>
          <w:rFonts w:ascii="Times New Roman" w:hAnsi="Times New Roman"/>
          <w:color w:val="000000"/>
          <w:sz w:val="24"/>
        </w:rPr>
        <w:t>. This policy does not apply to the exercise of options granted under the Company’s equity compensation plans for cash or, where permitted under the option, by a net exercise transaction with the Company or by delivery to the Company of already-owned Company stock. This policy does, however, apply to any sale of stock as part of a broker-assisted cashless exercise or any other market sale, whether or not for the purpose of generating the cash needed to pay the exercise price or pay taxes. This rule applies only to options or purchase rights granted by the Company. Rules pertaining to options or purchase rights granted by third parties are described in the section below captioned “Short Sales.”</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sz w:val="20"/>
        </w:rPr>
      </w:pPr>
      <w:r>
        <w:rPr>
          <w:rFonts w:ascii="Times New Roman" w:hAnsi="Times New Roman"/>
          <w:color w:val="000000"/>
          <w:sz w:val="24"/>
        </w:rPr>
        <w:t>2.</w:t>
      </w:r>
      <w:r>
        <w:rPr>
          <w:rFonts w:ascii="Times New Roman" w:hAnsi="Times New Roman"/>
          <w:color w:val="000000"/>
          <w:sz w:val="20"/>
        </w:rPr>
        <w:t xml:space="preserve"> </w:t>
      </w:r>
      <w:r>
        <w:rPr>
          <w:rFonts w:ascii="Times New Roman" w:hAnsi="Times New Roman"/>
          <w:b/>
          <w:i/>
          <w:color w:val="000000"/>
          <w:sz w:val="24"/>
        </w:rPr>
        <w:t>Tax Withholding Transactions</w:t>
      </w:r>
      <w:r>
        <w:rPr>
          <w:rFonts w:ascii="Times New Roman" w:hAnsi="Times New Roman"/>
          <w:color w:val="000000"/>
          <w:sz w:val="24"/>
        </w:rPr>
        <w:t>. This policy does not apply to the surrender of shares directly to the Company to satisfy tax withholding obligations as a result of the issuance of shares upon vesting or exercise of restricted stock units, options or other equity awards granted under the Company’s equity compensation plans. However, any market sale of the stock received upon exercise or vesting of any such equity awards remains subject to all provisions of this policy whether or not for the purpose of generating the cash needed to pay the exercise price or pay taxes.</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2.</w:t>
      </w:r>
    </w:p>
    <w:p>
      <w:pPr>
        <w:pStyle w:val="TextBody"/>
        <w:bidi w:val="0"/>
        <w:spacing w:before="120" w:after="283"/>
        <w:jc w:val="both"/>
        <w:rPr/>
      </w:pPr>
      <w:r>
        <w:rPr>
          <w:rFonts w:ascii="Times New Roman" w:hAnsi="Times New Roman"/>
          <w:b/>
          <w:i/>
          <w:color w:val="000000"/>
          <w:sz w:val="24"/>
        </w:rPr>
        <w:t>10b5-1 Automatic Trading Programs</w:t>
      </w:r>
      <w:r>
        <w:rPr>
          <w:rFonts w:ascii="Times New Roman" w:hAnsi="Times New Roman"/>
          <w:i/>
          <w:color w:val="000000"/>
          <w:sz w:val="24"/>
        </w:rPr>
        <w:t xml:space="preserve">. </w:t>
      </w:r>
      <w:r>
        <w:rPr>
          <w:rFonts w:ascii="Times New Roman" w:hAnsi="Times New Roman"/>
          <w:color w:val="000000"/>
          <w:sz w:val="24"/>
        </w:rPr>
        <w:t>Under Rule 10b5-1 under the Securities Exchange Act of 1934, as amended (“</w:t>
      </w:r>
      <w:r>
        <w:rPr>
          <w:rFonts w:ascii="Times New Roman" w:hAnsi="Times New Roman"/>
          <w:b/>
          <w:i/>
          <w:color w:val="000000"/>
          <w:sz w:val="24"/>
        </w:rPr>
        <w:t>Exchange Act</w:t>
      </w:r>
      <w:r>
        <w:rPr>
          <w:color w:val="000000"/>
        </w:rPr>
        <w:t>”</w:t>
      </w:r>
      <w:r>
        <w:rPr>
          <w:rFonts w:ascii="Times New Roman" w:hAnsi="Times New Roman"/>
          <w:color w:val="000000"/>
          <w:sz w:val="24"/>
        </w:rPr>
        <w:t>), and as permitted by the Company, Covered Persons may establish a trading plan under which a broker is instructed to buy and sell the Company’s securities based on pre-determined criteria (a “</w:t>
      </w:r>
      <w:r>
        <w:rPr>
          <w:rFonts w:ascii="Times New Roman" w:hAnsi="Times New Roman"/>
          <w:b/>
          <w:i/>
          <w:color w:val="000000"/>
          <w:sz w:val="24"/>
        </w:rPr>
        <w:t>Trading Plan</w:t>
      </w:r>
      <w:r>
        <w:rPr>
          <w:color w:val="000000"/>
        </w:rPr>
        <w:t>”</w:t>
      </w:r>
      <w:r>
        <w:rPr>
          <w:rFonts w:ascii="Times New Roman" w:hAnsi="Times New Roman"/>
          <w:color w:val="000000"/>
          <w:sz w:val="24"/>
        </w:rPr>
        <w:t>). So long as a Trading Plan is properly established, purchases and sales of the Company’s securities pursuant to that Trading Plan are not subject to this policy. To be properly established, a Covered Person’s Trading Plan must be established in compliance with the requirements of Rule 10b5-1 of the Exchange Act and any applicable 10b5-1 trading plan guidelines of the Company at a time when they were unaware of any material nonpublic information relating to the Company and when the Company was not otherwise in a trading blackout period. Moreover, all Trading Plans must be reviewed and approved by the Company’s Chief Legal Officer or his or her designee before being established to confirm that the Trading Plan complies with all pertinent company policies and applicable securities laws.</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3.</w:t>
      </w:r>
    </w:p>
    <w:p>
      <w:pPr>
        <w:pStyle w:val="TextBody"/>
        <w:bidi w:val="0"/>
        <w:spacing w:before="120" w:after="283"/>
        <w:jc w:val="both"/>
        <w:rPr/>
      </w:pPr>
      <w:r>
        <w:rPr>
          <w:rFonts w:ascii="Times New Roman" w:hAnsi="Times New Roman"/>
          <w:b/>
          <w:i/>
          <w:color w:val="000000"/>
          <w:sz w:val="24"/>
        </w:rPr>
        <w:t xml:space="preserve">Gifts. </w:t>
      </w:r>
      <w:r>
        <w:rPr>
          <w:rFonts w:ascii="Times New Roman" w:hAnsi="Times New Roman"/>
          <w:color w:val="000000"/>
          <w:sz w:val="24"/>
        </w:rPr>
        <w:t xml:space="preserve">This policy does not apply to </w:t>
      </w:r>
      <w:r>
        <w:rPr>
          <w:rFonts w:ascii="Times New Roman" w:hAnsi="Times New Roman"/>
          <w:i/>
          <w:color w:val="000000"/>
          <w:sz w:val="24"/>
        </w:rPr>
        <w:t xml:space="preserve">bona fide </w:t>
      </w:r>
      <w:r>
        <w:rPr>
          <w:rFonts w:ascii="Times New Roman" w:hAnsi="Times New Roman"/>
          <w:color w:val="000000"/>
          <w:sz w:val="24"/>
        </w:rPr>
        <w:t xml:space="preserve">gifts of the Company’s securities that have been pre-cleared by the Company’s Chief Legal Officer or his or her designee. Whether a gift is truly </w:t>
      </w:r>
      <w:r>
        <w:rPr>
          <w:rFonts w:ascii="Times New Roman" w:hAnsi="Times New Roman"/>
          <w:i/>
          <w:color w:val="000000"/>
          <w:sz w:val="24"/>
        </w:rPr>
        <w:t xml:space="preserve">bona fide </w:t>
      </w:r>
      <w:r>
        <w:rPr>
          <w:rFonts w:ascii="Times New Roman" w:hAnsi="Times New Roman"/>
          <w:color w:val="000000"/>
          <w:sz w:val="24"/>
        </w:rPr>
        <w:t xml:space="preserve">will depend on the facts and circumstances surrounding each gift. Pre-clearance must be obtained at least two business days in advance of the proposed gift, and pre-cleared gifts not completed within five </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business days will require new pre-clearance. The Company may choose to shorten this period. Gifts that are designed to circumvent this policy are not permitted.</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4.</w:t>
      </w:r>
    </w:p>
    <w:p>
      <w:pPr>
        <w:pStyle w:val="TextBody"/>
        <w:bidi w:val="0"/>
        <w:spacing w:before="120" w:after="283"/>
        <w:jc w:val="both"/>
        <w:rPr/>
      </w:pPr>
      <w:r>
        <w:rPr>
          <w:rFonts w:ascii="Times New Roman" w:hAnsi="Times New Roman"/>
          <w:b/>
          <w:i/>
          <w:color w:val="000000"/>
          <w:sz w:val="24"/>
        </w:rPr>
        <w:t>401(k) Plan</w:t>
      </w:r>
      <w:r>
        <w:rPr>
          <w:rFonts w:ascii="Times New Roman" w:hAnsi="Times New Roman"/>
          <w:color w:val="000000"/>
          <w:sz w:val="24"/>
        </w:rPr>
        <w:t>.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pStyle w:val="TextBody"/>
        <w:bidi w:val="0"/>
        <w:jc w:val="both"/>
        <w:rPr>
          <w:rFonts w:ascii="Times New Roman" w:hAnsi="Times New Roman"/>
          <w:sz w:val="20"/>
        </w:rPr>
      </w:pPr>
      <w:r>
        <w:rPr>
          <w:rFonts w:ascii="Times New Roman" w:hAnsi="Times New Roman"/>
          <w:b/>
          <w:color w:val="000000"/>
          <w:sz w:val="24"/>
        </w:rPr>
        <w:t>S</w:t>
      </w:r>
      <w:r>
        <w:rPr>
          <w:rFonts w:ascii="Times New Roman" w:hAnsi="Times New Roman"/>
          <w:b/>
          <w:color w:val="000000"/>
          <w:sz w:val="19"/>
        </w:rPr>
        <w:t xml:space="preserve">PECIAL AND </w:t>
      </w:r>
      <w:r>
        <w:rPr>
          <w:rFonts w:ascii="Times New Roman" w:hAnsi="Times New Roman"/>
          <w:b/>
          <w:color w:val="000000"/>
          <w:sz w:val="24"/>
        </w:rPr>
        <w:t>P</w:t>
      </w:r>
      <w:r>
        <w:rPr>
          <w:rFonts w:ascii="Times New Roman" w:hAnsi="Times New Roman"/>
          <w:b/>
          <w:color w:val="000000"/>
          <w:sz w:val="19"/>
        </w:rPr>
        <w:t xml:space="preserve">ROHIBITED </w:t>
      </w:r>
      <w:r>
        <w:rPr>
          <w:rFonts w:ascii="Times New Roman" w:hAnsi="Times New Roman"/>
          <w:b/>
          <w:color w:val="000000"/>
          <w:sz w:val="24"/>
        </w:rPr>
        <w:t>T</w:t>
      </w:r>
      <w:r>
        <w:rPr>
          <w:rFonts w:ascii="Times New Roman" w:hAnsi="Times New Roman"/>
          <w:b/>
          <w:color w:val="000000"/>
          <w:sz w:val="19"/>
        </w:rPr>
        <w:t>RANSACTIONS</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3.1.</w:t>
      </w:r>
    </w:p>
    <w:p>
      <w:pPr>
        <w:pStyle w:val="TextBody"/>
        <w:bidi w:val="0"/>
        <w:spacing w:before="120" w:after="283"/>
        <w:jc w:val="both"/>
        <w:rPr/>
      </w:pPr>
      <w:r>
        <w:rPr>
          <w:rFonts w:ascii="Times New Roman" w:hAnsi="Times New Roman"/>
          <w:b/>
          <w:i/>
          <w:color w:val="000000"/>
          <w:sz w:val="24"/>
        </w:rPr>
        <w:t>Inherently Speculative Transactions</w:t>
      </w:r>
      <w:r>
        <w:rPr>
          <w:rFonts w:ascii="Times New Roman" w:hAnsi="Times New Roman"/>
          <w:b/>
          <w:color w:val="000000"/>
          <w:sz w:val="24"/>
        </w:rPr>
        <w:t xml:space="preserve">. </w:t>
      </w:r>
      <w:r>
        <w:rPr>
          <w:rFonts w:ascii="Times New Roman" w:hAnsi="Times New Roman"/>
          <w:color w:val="000000"/>
          <w:sz w:val="24"/>
        </w:rPr>
        <w:t>No Covered Person may engage in short sales, transactions in put options, call options or other derivative securities on an exchange or in any other organized market, or in any other inherently speculative transactions with respect to the Company’s stock.</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3.2.</w:t>
      </w:r>
    </w:p>
    <w:p>
      <w:pPr>
        <w:pStyle w:val="TextBody"/>
        <w:bidi w:val="0"/>
        <w:spacing w:before="120" w:after="283"/>
        <w:jc w:val="both"/>
        <w:rPr/>
      </w:pPr>
      <w:r>
        <w:rPr>
          <w:rFonts w:ascii="Times New Roman" w:hAnsi="Times New Roman"/>
          <w:b/>
          <w:i/>
          <w:color w:val="000000"/>
          <w:sz w:val="24"/>
        </w:rPr>
        <w:t xml:space="preserve">Hedging Transactions. </w:t>
      </w:r>
      <w:r>
        <w:rPr>
          <w:rFonts w:ascii="Times New Roman" w:hAnsi="Times New Roman"/>
          <w:color w:val="000000"/>
          <w:sz w:val="24"/>
        </w:rPr>
        <w:t>Hedging or monetization transactions can be accomplished through a number of possible mechanisms, including through the use of financial instruments such</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color w:val="000000"/>
          <w:sz w:val="24"/>
        </w:rPr>
      </w:pPr>
      <w:r>
        <w:rPr>
          <w:rFonts w:ascii="Times New Roman" w:hAnsi="Times New Roman"/>
          <w:color w:val="000000"/>
          <w:sz w:val="24"/>
        </w:rPr>
        <w:t>as prepaid variable forwards, equity swaps, collars and exchange funds. Such hedging transactions may permit a Covered Person to own the Company’s securities obtained through employee benefit plans or otherwise, but without the full risks and rewards of ownership. When that occurs, the Covered Person may no longer have the same objectives as Company’s other shareholders. Therefore, the Company’s employees, directors and designated consultants are prohibited from engaging in any such transactions.</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3.3.</w:t>
      </w:r>
    </w:p>
    <w:p>
      <w:pPr>
        <w:pStyle w:val="TextBody"/>
        <w:bidi w:val="0"/>
        <w:spacing w:before="120" w:after="283"/>
        <w:jc w:val="both"/>
        <w:rPr/>
      </w:pPr>
      <w:r>
        <w:rPr>
          <w:rFonts w:ascii="Times New Roman" w:hAnsi="Times New Roman"/>
          <w:b/>
          <w:i/>
          <w:color w:val="000000"/>
          <w:sz w:val="24"/>
        </w:rPr>
        <w:t>Margin Accounts and Pledged Securities</w:t>
      </w:r>
      <w:r>
        <w:rPr>
          <w:rFonts w:ascii="Times New Roman" w:hAnsi="Times New Roman"/>
          <w:color w:val="000000"/>
          <w:sz w:val="24"/>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the Company’s securities in a margin account or otherwise pledging the Company’s securities as collateral for a loan.</w:t>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3.4.</w:t>
      </w:r>
    </w:p>
    <w:p>
      <w:pPr>
        <w:pStyle w:val="TextBody"/>
        <w:bidi w:val="0"/>
        <w:spacing w:before="120" w:after="283"/>
        <w:jc w:val="both"/>
        <w:rPr/>
      </w:pPr>
      <w:r>
        <w:rPr>
          <w:rFonts w:ascii="Times New Roman" w:hAnsi="Times New Roman"/>
          <w:b/>
          <w:i/>
          <w:color w:val="000000"/>
          <w:sz w:val="24"/>
        </w:rPr>
        <w:t>Standing and Limit Orders</w:t>
      </w:r>
      <w:r>
        <w:rPr>
          <w:rFonts w:ascii="Times New Roman" w:hAnsi="Times New Roman"/>
          <w:color w:val="000000"/>
          <w:sz w:val="24"/>
        </w:rPr>
        <w:t>.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pStyle w:val="HorizontalLine"/>
        <w:pBdr>
          <w:bottom w:val="double" w:sz="2" w:space="0" w:color="808080"/>
        </w:pBdr>
        <w:bidi w:val="0"/>
        <w:spacing w:before="0" w:after="283"/>
        <w:jc w:val="left"/>
        <w:rPr/>
      </w:pPr>
      <w:r>
        <w:rPr/>
      </w:r>
    </w:p>
    <w:p>
      <w:pPr>
        <w:pStyle w:val="TextBody"/>
        <w:bidi w:val="0"/>
        <w:spacing w:before="120" w:after="283"/>
        <w:jc w:val="both"/>
        <w:rPr>
          <w:rFonts w:ascii="Times New Roman" w:hAnsi="Times New Roman"/>
          <w:b/>
          <w:i/>
          <w:color w:val="000000"/>
          <w:sz w:val="24"/>
        </w:rPr>
      </w:pPr>
      <w:r>
        <w:rPr>
          <w:rFonts w:ascii="Times New Roman" w:hAnsi="Times New Roman"/>
          <w:b/>
          <w:i/>
          <w:color w:val="000000"/>
          <w:sz w:val="24"/>
        </w:rPr>
        <w:t>3.5.</w:t>
      </w:r>
    </w:p>
    <w:p>
      <w:pPr>
        <w:pStyle w:val="TextBody"/>
        <w:bidi w:val="0"/>
        <w:spacing w:before="120" w:after="283"/>
        <w:jc w:val="both"/>
        <w:rPr/>
      </w:pPr>
      <w:r>
        <w:rPr>
          <w:rFonts w:ascii="Times New Roman" w:hAnsi="Times New Roman"/>
          <w:b/>
          <w:i/>
          <w:color w:val="000000"/>
          <w:sz w:val="24"/>
        </w:rPr>
        <w:t xml:space="preserve">Short Sales. </w:t>
      </w:r>
      <w:r>
        <w:rPr>
          <w:rFonts w:ascii="Times New Roman" w:hAnsi="Times New Roman"/>
          <w:color w:val="000000"/>
          <w:sz w:val="24"/>
        </w:rPr>
        <w:t>You may not engage in short selling of the Company’s securities. Selling short includes transactions in which you borrow securities from a broker, sell them, and eventually buy securities on the market to cover the number of securities borrowed from the broker. Profit is made if the price of the securities decreases during the period of borrowing. Short sales may evidence an expectation on the part of the seller that the securities will decline in value, and therefore have the potential to signal to the market that the seller lacks confidence in the Company’s prospects.</w:t>
      </w:r>
    </w:p>
    <w:p>
      <w:pPr>
        <w:pStyle w:val="TextBody"/>
        <w:bidi w:val="0"/>
        <w:jc w:val="both"/>
        <w:rPr>
          <w:rFonts w:ascii="Times New Roman" w:hAnsi="Times New Roman"/>
          <w:sz w:val="20"/>
        </w:rPr>
      </w:pPr>
      <w:r>
        <w:rPr>
          <w:rFonts w:ascii="Times New Roman" w:hAnsi="Times New Roman"/>
          <w:b/>
          <w:color w:val="000000"/>
          <w:sz w:val="24"/>
        </w:rPr>
        <w:t>P</w:t>
      </w:r>
      <w:r>
        <w:rPr>
          <w:rFonts w:ascii="Times New Roman" w:hAnsi="Times New Roman"/>
          <w:b/>
          <w:color w:val="000000"/>
          <w:sz w:val="19"/>
        </w:rPr>
        <w:t>RE</w:t>
      </w:r>
      <w:r>
        <w:rPr>
          <w:rFonts w:ascii="Times New Roman" w:hAnsi="Times New Roman"/>
          <w:b/>
          <w:color w:val="000000"/>
          <w:sz w:val="24"/>
        </w:rPr>
        <w:t>-C</w:t>
      </w:r>
      <w:r>
        <w:rPr>
          <w:rFonts w:ascii="Times New Roman" w:hAnsi="Times New Roman"/>
          <w:b/>
          <w:color w:val="000000"/>
          <w:sz w:val="19"/>
        </w:rPr>
        <w:t xml:space="preserve">LEARANCE AND </w:t>
      </w:r>
      <w:r>
        <w:rPr>
          <w:rFonts w:ascii="Times New Roman" w:hAnsi="Times New Roman"/>
          <w:b/>
          <w:color w:val="000000"/>
          <w:sz w:val="24"/>
        </w:rPr>
        <w:t>A</w:t>
      </w:r>
      <w:r>
        <w:rPr>
          <w:rFonts w:ascii="Times New Roman" w:hAnsi="Times New Roman"/>
          <w:b/>
          <w:color w:val="000000"/>
          <w:sz w:val="19"/>
        </w:rPr>
        <w:t xml:space="preserve">DVANCE </w:t>
      </w:r>
      <w:r>
        <w:rPr>
          <w:rFonts w:ascii="Times New Roman" w:hAnsi="Times New Roman"/>
          <w:b/>
          <w:color w:val="000000"/>
          <w:sz w:val="24"/>
        </w:rPr>
        <w:t>N</w:t>
      </w:r>
      <w:r>
        <w:rPr>
          <w:rFonts w:ascii="Times New Roman" w:hAnsi="Times New Roman"/>
          <w:b/>
          <w:color w:val="000000"/>
          <w:sz w:val="19"/>
        </w:rPr>
        <w:t xml:space="preserve">OTICE OF </w:t>
      </w:r>
      <w:r>
        <w:rPr>
          <w:rFonts w:ascii="Times New Roman" w:hAnsi="Times New Roman"/>
          <w:b/>
          <w:color w:val="000000"/>
          <w:sz w:val="24"/>
        </w:rPr>
        <w:t>T</w:t>
      </w:r>
      <w:r>
        <w:rPr>
          <w:rFonts w:ascii="Times New Roman" w:hAnsi="Times New Roman"/>
          <w:b/>
          <w:color w:val="000000"/>
          <w:sz w:val="19"/>
        </w:rPr>
        <w:t>RANSACTIONS</w:t>
      </w:r>
    </w:p>
    <w:p>
      <w:pPr>
        <w:pStyle w:val="TextBody"/>
        <w:bidi w:val="0"/>
        <w:jc w:val="both"/>
        <w:rPr>
          <w:rFonts w:ascii="Times New Roman" w:hAnsi="Times New Roman"/>
          <w:color w:val="000000"/>
          <w:sz w:val="24"/>
        </w:rPr>
      </w:pPr>
      <w:r>
        <w:rPr>
          <w:rFonts w:ascii="Times New Roman" w:hAnsi="Times New Roman"/>
          <w:color w:val="000000"/>
          <w:sz w:val="24"/>
        </w:rPr>
        <w:t>In addition to the requirements above, officers, directors and other employees face a further restriction: even during an open trading window, they may not engage in any transaction in the Company’s securities without first obtaining pre-clearance of the transaction from the Company’s Chief Legal Officer or his or her designee at least two business days in advance of the proposed transaction. The Chief Legal Officer or his or her designee will then determine whether the transaction may proceed and, if so, will direct the Compliance Officer (as identified in the Company’s Section 16 Compliance Program) to help comply with any required reporting requirements under Section 16(a) of the Exchange Act. Pre-cleared transactions not completed within five business days will require new pre-clearance. The Company may choose to shorten this period.</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color w:val="000000"/>
          <w:sz w:val="24"/>
        </w:rPr>
      </w:pPr>
      <w:r>
        <w:rPr>
          <w:rFonts w:ascii="Times New Roman" w:hAnsi="Times New Roman"/>
          <w:color w:val="000000"/>
          <w:sz w:val="24"/>
        </w:rPr>
        <w:t>Persons subject to pre-clearance must also give advance notice of their plans to exercise an outstanding stockoption to the Compliance Officer or Chief Legal Officer. Once any transaction takes place, the officer, director or employee must immediately notify the Compliance Officer and any other individuals identified under the heading “Notification of Execution of Transaction” in the Company’s Section 16 Compliance Program so that the Company may assist in any Section 16 reporting obligations.</w:t>
      </w:r>
    </w:p>
    <w:p>
      <w:pPr>
        <w:pStyle w:val="TextBody"/>
        <w:bidi w:val="0"/>
        <w:jc w:val="left"/>
        <w:rPr>
          <w:rFonts w:ascii="Times New Roman" w:hAnsi="Times New Roman"/>
          <w:sz w:val="20"/>
        </w:rPr>
      </w:pPr>
      <w:r>
        <w:rPr>
          <w:rFonts w:ascii="Times New Roman" w:hAnsi="Times New Roman"/>
          <w:b/>
          <w:color w:val="000000"/>
          <w:sz w:val="24"/>
        </w:rPr>
        <w:t>S</w:t>
      </w:r>
      <w:r>
        <w:rPr>
          <w:rFonts w:ascii="Times New Roman" w:hAnsi="Times New Roman"/>
          <w:b/>
          <w:color w:val="000000"/>
          <w:sz w:val="19"/>
        </w:rPr>
        <w:t>HORT</w:t>
      </w:r>
      <w:r>
        <w:rPr>
          <w:rFonts w:ascii="Times New Roman" w:hAnsi="Times New Roman"/>
          <w:b/>
          <w:color w:val="000000"/>
          <w:sz w:val="24"/>
        </w:rPr>
        <w:t>-S</w:t>
      </w:r>
      <w:r>
        <w:rPr>
          <w:rFonts w:ascii="Times New Roman" w:hAnsi="Times New Roman"/>
          <w:b/>
          <w:color w:val="000000"/>
          <w:sz w:val="19"/>
        </w:rPr>
        <w:t xml:space="preserve">WING </w:t>
      </w:r>
      <w:r>
        <w:rPr>
          <w:rFonts w:ascii="Times New Roman" w:hAnsi="Times New Roman"/>
          <w:b/>
          <w:color w:val="000000"/>
          <w:sz w:val="24"/>
        </w:rPr>
        <w:t>T</w:t>
      </w:r>
      <w:r>
        <w:rPr>
          <w:rFonts w:ascii="Times New Roman" w:hAnsi="Times New Roman"/>
          <w:b/>
          <w:color w:val="000000"/>
          <w:sz w:val="19"/>
        </w:rPr>
        <w:t>RADING</w:t>
      </w:r>
      <w:r>
        <w:rPr>
          <w:rFonts w:ascii="Times New Roman" w:hAnsi="Times New Roman"/>
          <w:b/>
          <w:color w:val="000000"/>
          <w:sz w:val="24"/>
        </w:rPr>
        <w:t>, C</w:t>
      </w:r>
      <w:r>
        <w:rPr>
          <w:rFonts w:ascii="Times New Roman" w:hAnsi="Times New Roman"/>
          <w:b/>
          <w:color w:val="000000"/>
          <w:sz w:val="19"/>
        </w:rPr>
        <w:t xml:space="preserve">ONTROL </w:t>
      </w:r>
      <w:r>
        <w:rPr>
          <w:rFonts w:ascii="Times New Roman" w:hAnsi="Times New Roman"/>
          <w:b/>
          <w:color w:val="000000"/>
          <w:sz w:val="24"/>
        </w:rPr>
        <w:t>S</w:t>
      </w:r>
      <w:r>
        <w:rPr>
          <w:rFonts w:ascii="Times New Roman" w:hAnsi="Times New Roman"/>
          <w:b/>
          <w:color w:val="000000"/>
          <w:sz w:val="19"/>
        </w:rPr>
        <w:t xml:space="preserve">TOCK AND </w:t>
      </w:r>
      <w:r>
        <w:rPr>
          <w:rFonts w:ascii="Times New Roman" w:hAnsi="Times New Roman"/>
          <w:b/>
          <w:color w:val="000000"/>
          <w:sz w:val="24"/>
        </w:rPr>
        <w:t>S</w:t>
      </w:r>
      <w:r>
        <w:rPr>
          <w:rFonts w:ascii="Times New Roman" w:hAnsi="Times New Roman"/>
          <w:b/>
          <w:color w:val="000000"/>
          <w:sz w:val="19"/>
        </w:rPr>
        <w:t xml:space="preserve">ECTION </w:t>
      </w:r>
      <w:r>
        <w:rPr>
          <w:rFonts w:ascii="Times New Roman" w:hAnsi="Times New Roman"/>
          <w:b/>
          <w:color w:val="000000"/>
          <w:sz w:val="24"/>
        </w:rPr>
        <w:t>16 R</w:t>
      </w:r>
      <w:r>
        <w:rPr>
          <w:rFonts w:ascii="Times New Roman" w:hAnsi="Times New Roman"/>
          <w:b/>
          <w:color w:val="000000"/>
          <w:sz w:val="19"/>
        </w:rPr>
        <w:t>EPORTS</w:t>
      </w:r>
    </w:p>
    <w:p>
      <w:pPr>
        <w:pStyle w:val="TextBody"/>
        <w:bidi w:val="0"/>
        <w:jc w:val="both"/>
        <w:rPr>
          <w:rFonts w:ascii="Times New Roman" w:hAnsi="Times New Roman"/>
          <w:color w:val="000000"/>
          <w:sz w:val="24"/>
        </w:rPr>
      </w:pPr>
      <w:r>
        <w:rPr>
          <w:rFonts w:ascii="Times New Roman" w:hAnsi="Times New Roman"/>
          <w:color w:val="000000"/>
          <w:sz w:val="24"/>
        </w:rPr>
        <w:t>Officers and directors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which are described in the Company’s Section 16 Compliance Program, and any notices of sale required by Rule 144.</w:t>
      </w:r>
    </w:p>
    <w:p>
      <w:pPr>
        <w:pStyle w:val="TextBody"/>
        <w:bidi w:val="0"/>
        <w:jc w:val="left"/>
        <w:rPr>
          <w:rFonts w:ascii="Times New Roman" w:hAnsi="Times New Roman"/>
          <w:sz w:val="20"/>
        </w:rPr>
      </w:pPr>
      <w:r>
        <w:rPr>
          <w:rFonts w:ascii="Times New Roman" w:hAnsi="Times New Roman"/>
          <w:b/>
          <w:color w:val="000000"/>
          <w:sz w:val="24"/>
        </w:rPr>
        <w:t>P</w:t>
      </w:r>
      <w:r>
        <w:rPr>
          <w:rFonts w:ascii="Times New Roman" w:hAnsi="Times New Roman"/>
          <w:b/>
          <w:color w:val="000000"/>
          <w:sz w:val="19"/>
        </w:rPr>
        <w:t>OLICY</w:t>
      </w:r>
      <w:r>
        <w:rPr>
          <w:rFonts w:ascii="Times New Roman" w:hAnsi="Times New Roman"/>
          <w:color w:val="000000"/>
          <w:sz w:val="20"/>
        </w:rPr>
        <w:t>’</w:t>
      </w:r>
      <w:r>
        <w:rPr>
          <w:rFonts w:ascii="Times New Roman" w:hAnsi="Times New Roman"/>
          <w:b/>
          <w:color w:val="000000"/>
          <w:sz w:val="19"/>
        </w:rPr>
        <w:t xml:space="preserve">S </w:t>
      </w:r>
      <w:r>
        <w:rPr>
          <w:rFonts w:ascii="Times New Roman" w:hAnsi="Times New Roman"/>
          <w:b/>
          <w:color w:val="000000"/>
          <w:sz w:val="24"/>
        </w:rPr>
        <w:t>D</w:t>
      </w:r>
      <w:r>
        <w:rPr>
          <w:rFonts w:ascii="Times New Roman" w:hAnsi="Times New Roman"/>
          <w:b/>
          <w:color w:val="000000"/>
          <w:sz w:val="19"/>
        </w:rPr>
        <w:t>URATION</w:t>
      </w:r>
    </w:p>
    <w:p>
      <w:pPr>
        <w:pStyle w:val="TextBody"/>
        <w:bidi w:val="0"/>
        <w:jc w:val="both"/>
        <w:rPr>
          <w:rFonts w:ascii="Times New Roman" w:hAnsi="Times New Roman"/>
          <w:color w:val="000000"/>
          <w:sz w:val="24"/>
        </w:rPr>
      </w:pPr>
      <w:r>
        <w:rPr>
          <w:rFonts w:ascii="Times New Roman" w:hAnsi="Times New Roman"/>
          <w:color w:val="000000"/>
          <w:sz w:val="24"/>
        </w:rPr>
        <w:t>This policy continues to apply to your transactions in the Company’s securities or the other securities covered by thispolicy even after your relationship with the Company has ended. If you are aware of material nonpublic information when your relationship with the Company ends, you may not trade the Company’s securities or other covered securities until the material nonpublic information has been publicly disseminated or is no longer material. Further, if you leave the Company during a trading blackout period, then you may not trade the Company’s securities or the other covered securities until the trading blackout period has ended.</w:t>
      </w:r>
    </w:p>
    <w:p>
      <w:pPr>
        <w:pStyle w:val="TextBody"/>
        <w:bidi w:val="0"/>
        <w:jc w:val="left"/>
        <w:rPr>
          <w:rFonts w:ascii="Times New Roman" w:hAnsi="Times New Roman"/>
          <w:sz w:val="20"/>
        </w:rPr>
      </w:pPr>
      <w:r>
        <w:rPr>
          <w:rFonts w:ascii="Times New Roman" w:hAnsi="Times New Roman"/>
          <w:b/>
          <w:color w:val="000000"/>
          <w:sz w:val="24"/>
        </w:rPr>
        <w:t>I</w:t>
      </w:r>
      <w:r>
        <w:rPr>
          <w:rFonts w:ascii="Times New Roman" w:hAnsi="Times New Roman"/>
          <w:b/>
          <w:color w:val="000000"/>
          <w:sz w:val="19"/>
        </w:rPr>
        <w:t xml:space="preserve">NDIVIDUAL </w:t>
      </w:r>
      <w:r>
        <w:rPr>
          <w:rFonts w:ascii="Times New Roman" w:hAnsi="Times New Roman"/>
          <w:b/>
          <w:color w:val="000000"/>
          <w:sz w:val="24"/>
        </w:rPr>
        <w:t>R</w:t>
      </w:r>
      <w:r>
        <w:rPr>
          <w:rFonts w:ascii="Times New Roman" w:hAnsi="Times New Roman"/>
          <w:b/>
          <w:color w:val="000000"/>
          <w:sz w:val="19"/>
        </w:rPr>
        <w:t>ESPONSIBILITY</w:t>
      </w:r>
    </w:p>
    <w:p>
      <w:pPr>
        <w:pStyle w:val="TextBody"/>
        <w:bidi w:val="0"/>
        <w:jc w:val="both"/>
        <w:rPr>
          <w:rFonts w:ascii="Times New Roman" w:hAnsi="Times New Roman"/>
          <w:sz w:val="20"/>
        </w:rPr>
      </w:pPr>
      <w:r>
        <w:rPr>
          <w:rFonts w:ascii="Times New Roman" w:hAnsi="Times New Roman"/>
          <w:color w:val="000000"/>
          <w:sz w:val="24"/>
        </w:rPr>
        <w:t>Persons subject to this policy have ethical and legal obligations to maintain the confidentiality of information about the Company and to not engage in transactions in the Company’s securities or other covered securities while aware of material nonpublic information. Each individual is responsible for making sure that he or she complies with thispolicy, and that any Related Person whose transactions are subject to this policy, as discussed under the heading “Persons Subject to this Policy” above, also comply with this policy. In all cases, the responsibility for determining whether an individual is aware of material nonpublic information rests with that individual, and any action on the part of the Company or any employee, officer or director of the Company pursuant to this policy (or otherwise) does not in any way constitute legal advice or insulate an individual from liability under applicable securities laws. You could be subject to severe legal penalties and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disciplinary action by the Company for any conduct prohibited by this policy or applicable securities laws. See “Penalties” below.</w:t>
      </w:r>
    </w:p>
    <w:p>
      <w:pPr>
        <w:pStyle w:val="TextBody"/>
        <w:bidi w:val="0"/>
        <w:jc w:val="left"/>
        <w:rPr>
          <w:rFonts w:ascii="Times New Roman" w:hAnsi="Times New Roman"/>
          <w:sz w:val="20"/>
        </w:rPr>
      </w:pPr>
      <w:r>
        <w:rPr>
          <w:rFonts w:ascii="Times New Roman" w:hAnsi="Times New Roman"/>
          <w:b/>
          <w:color w:val="000000"/>
          <w:sz w:val="24"/>
        </w:rPr>
        <w:t>P</w:t>
      </w:r>
      <w:r>
        <w:rPr>
          <w:rFonts w:ascii="Times New Roman" w:hAnsi="Times New Roman"/>
          <w:b/>
          <w:color w:val="000000"/>
          <w:sz w:val="19"/>
        </w:rPr>
        <w:t>ENALTIES</w:t>
      </w:r>
    </w:p>
    <w:p>
      <w:pPr>
        <w:pStyle w:val="TextBody"/>
        <w:bidi w:val="0"/>
        <w:jc w:val="both"/>
        <w:rPr>
          <w:rFonts w:ascii="Times New Roman" w:hAnsi="Times New Roman"/>
          <w:sz w:val="20"/>
        </w:rPr>
      </w:pPr>
      <w:r>
        <w:rPr>
          <w:rFonts w:ascii="Times New Roman" w:hAnsi="Times New Roman"/>
          <w:color w:val="000000"/>
          <w:sz w:val="24"/>
        </w:rPr>
        <w:t xml:space="preserve">Anyone who engages in insider trading or otherwise violates this policy may be subject to both civil liability and criminal penalties. Violators also risk disciplinary action by the Company, including termination of employment. Anyone who has questions about this policy should contact their own attorney or the Company’s Chief Legal Officer. Please also see Frequently Asked Questions, which are attached as </w:t>
      </w:r>
      <w:r>
        <w:rPr>
          <w:rFonts w:ascii="Times New Roman" w:hAnsi="Times New Roman"/>
          <w:b/>
          <w:color w:val="000000"/>
          <w:sz w:val="24"/>
        </w:rPr>
        <w:t>E</w:t>
      </w:r>
      <w:r>
        <w:rPr>
          <w:rFonts w:ascii="Times New Roman" w:hAnsi="Times New Roman"/>
          <w:b/>
          <w:color w:val="000000"/>
          <w:sz w:val="19"/>
        </w:rPr>
        <w:t xml:space="preserve">XHIBIT </w:t>
      </w:r>
      <w:r>
        <w:rPr>
          <w:rFonts w:ascii="Times New Roman" w:hAnsi="Times New Roman"/>
          <w:b/>
          <w:color w:val="000000"/>
          <w:sz w:val="24"/>
        </w:rPr>
        <w:t>A</w:t>
      </w:r>
      <w:r>
        <w:rPr>
          <w:rFonts w:ascii="Times New Roman" w:hAnsi="Times New Roman"/>
          <w:color w:val="000000"/>
          <w:sz w:val="24"/>
        </w:rPr>
        <w:t>.</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left"/>
        <w:rPr>
          <w:rFonts w:ascii="Times New Roman" w:hAnsi="Times New Roman"/>
          <w:sz w:val="20"/>
        </w:rPr>
      </w:pPr>
      <w:r>
        <w:rPr>
          <w:rFonts w:ascii="Times New Roman" w:hAnsi="Times New Roman"/>
          <w:b/>
          <w:color w:val="000000"/>
          <w:sz w:val="24"/>
        </w:rPr>
        <w:t>A</w:t>
      </w:r>
      <w:r>
        <w:rPr>
          <w:rFonts w:ascii="Times New Roman" w:hAnsi="Times New Roman"/>
          <w:b/>
          <w:color w:val="000000"/>
          <w:sz w:val="19"/>
        </w:rPr>
        <w:t>MENDMENTS</w:t>
      </w:r>
    </w:p>
    <w:p>
      <w:pPr>
        <w:pStyle w:val="TextBody"/>
        <w:bidi w:val="0"/>
        <w:jc w:val="both"/>
        <w:rPr>
          <w:rFonts w:ascii="Times New Roman" w:hAnsi="Times New Roman"/>
          <w:color w:val="000000"/>
          <w:sz w:val="24"/>
        </w:rPr>
      </w:pPr>
      <w:r>
        <w:rPr>
          <w:rFonts w:ascii="Times New Roman" w:hAnsi="Times New Roman"/>
          <w:color w:val="000000"/>
          <w:sz w:val="24"/>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by contacting the Company’s legal department.</w:t>
      </w:r>
    </w:p>
    <w:p>
      <w:pPr>
        <w:pStyle w:val="TextBody"/>
        <w:bidi w:val="0"/>
        <w:jc w:val="left"/>
        <w:rPr>
          <w:rFonts w:ascii="Times New Roman" w:hAnsi="Times New Roman"/>
          <w:color w:val="000000"/>
          <w:sz w:val="24"/>
        </w:rPr>
      </w:pPr>
      <w:r>
        <w:rPr>
          <w:rFonts w:ascii="Times New Roman" w:hAnsi="Times New Roman"/>
          <w:color w:val="000000"/>
          <w:sz w:val="24"/>
        </w:rPr>
        <w:t>Prior Version: September 24, 2019</w:t>
      </w:r>
    </w:p>
    <w:p>
      <w:pPr>
        <w:pStyle w:val="TextBody"/>
        <w:bidi w:val="0"/>
        <w:jc w:val="left"/>
        <w:rPr>
          <w:rFonts w:ascii="Times New Roman" w:hAnsi="Times New Roman"/>
          <w:color w:val="000000"/>
          <w:sz w:val="24"/>
        </w:rPr>
      </w:pPr>
      <w:r>
        <w:rPr>
          <w:rFonts w:ascii="Times New Roman" w:hAnsi="Times New Roman"/>
          <w:color w:val="000000"/>
          <w:sz w:val="24"/>
        </w:rPr>
        <w:t>Approved: March 29, 2022</w:t>
      </w:r>
    </w:p>
    <w:p>
      <w:pPr>
        <w:pStyle w:val="TextBody"/>
        <w:bidi w:val="0"/>
        <w:jc w:val="left"/>
        <w:rPr>
          <w:rFonts w:ascii="Times New Roman" w:hAnsi="Times New Roman"/>
          <w:color w:val="000000"/>
          <w:sz w:val="24"/>
        </w:rPr>
      </w:pPr>
      <w:r>
        <w:rPr>
          <w:rFonts w:ascii="Times New Roman" w:hAnsi="Times New Roman"/>
          <w:color w:val="000000"/>
          <w:sz w:val="24"/>
        </w:rPr>
        <w:t>Effective: March 29, 2022</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left"/>
        <w:rPr>
          <w:rFonts w:ascii="Times New Roman" w:hAnsi="Times New Roman"/>
          <w:sz w:val="20"/>
        </w:rPr>
      </w:pPr>
      <w:r>
        <w:rPr>
          <w:rFonts w:ascii="Times New Roman" w:hAnsi="Times New Roman"/>
          <w:b/>
          <w:color w:val="000000"/>
          <w:sz w:val="24"/>
        </w:rPr>
        <w:t>E</w:t>
      </w:r>
      <w:r>
        <w:rPr>
          <w:rFonts w:ascii="Times New Roman" w:hAnsi="Times New Roman"/>
          <w:b/>
          <w:color w:val="000000"/>
          <w:sz w:val="19"/>
        </w:rPr>
        <w:t xml:space="preserve">XHIBIT </w:t>
      </w:r>
      <w:r>
        <w:rPr>
          <w:rFonts w:ascii="Times New Roman" w:hAnsi="Times New Roman"/>
          <w:b/>
          <w:color w:val="000000"/>
          <w:sz w:val="24"/>
        </w:rPr>
        <w:t>A I</w:t>
      </w:r>
      <w:r>
        <w:rPr>
          <w:rFonts w:ascii="Times New Roman" w:hAnsi="Times New Roman"/>
          <w:b/>
          <w:color w:val="000000"/>
          <w:sz w:val="19"/>
        </w:rPr>
        <w:t xml:space="preserve">NSIDER </w:t>
      </w:r>
      <w:r>
        <w:rPr>
          <w:rFonts w:ascii="Times New Roman" w:hAnsi="Times New Roman"/>
          <w:b/>
          <w:color w:val="000000"/>
          <w:sz w:val="24"/>
        </w:rPr>
        <w:t>T</w:t>
      </w:r>
      <w:r>
        <w:rPr>
          <w:rFonts w:ascii="Times New Roman" w:hAnsi="Times New Roman"/>
          <w:b/>
          <w:color w:val="000000"/>
          <w:sz w:val="19"/>
        </w:rPr>
        <w:t xml:space="preserve">RADING </w:t>
      </w:r>
      <w:r>
        <w:rPr>
          <w:rFonts w:ascii="Times New Roman" w:hAnsi="Times New Roman"/>
          <w:b/>
          <w:color w:val="000000"/>
          <w:sz w:val="24"/>
        </w:rPr>
        <w:t>P</w:t>
      </w:r>
      <w:r>
        <w:rPr>
          <w:rFonts w:ascii="Times New Roman" w:hAnsi="Times New Roman"/>
          <w:b/>
          <w:color w:val="000000"/>
          <w:sz w:val="19"/>
        </w:rPr>
        <w:t>OLICY</w:t>
      </w:r>
    </w:p>
    <w:p>
      <w:pPr>
        <w:pStyle w:val="TextBody"/>
        <w:bidi w:val="0"/>
        <w:jc w:val="left"/>
        <w:rPr>
          <w:rFonts w:ascii="Times New Roman" w:hAnsi="Times New Roman"/>
          <w:sz w:val="20"/>
        </w:rPr>
      </w:pPr>
      <w:r>
        <w:rPr>
          <w:rFonts w:ascii="Times New Roman" w:hAnsi="Times New Roman"/>
          <w:b/>
          <w:color w:val="000000"/>
          <w:sz w:val="24"/>
        </w:rPr>
        <w:t>F</w:t>
      </w:r>
      <w:r>
        <w:rPr>
          <w:rFonts w:ascii="Times New Roman" w:hAnsi="Times New Roman"/>
          <w:b/>
          <w:color w:val="000000"/>
          <w:sz w:val="19"/>
        </w:rPr>
        <w:t xml:space="preserve">REQUENTLY </w:t>
      </w:r>
      <w:r>
        <w:rPr>
          <w:rFonts w:ascii="Times New Roman" w:hAnsi="Times New Roman"/>
          <w:b/>
          <w:color w:val="000000"/>
          <w:sz w:val="24"/>
        </w:rPr>
        <w:t>A</w:t>
      </w:r>
      <w:r>
        <w:rPr>
          <w:rFonts w:ascii="Times New Roman" w:hAnsi="Times New Roman"/>
          <w:b/>
          <w:color w:val="000000"/>
          <w:sz w:val="19"/>
        </w:rPr>
        <w:t xml:space="preserve">SKED </w:t>
      </w:r>
      <w:r>
        <w:rPr>
          <w:rFonts w:ascii="Times New Roman" w:hAnsi="Times New Roman"/>
          <w:b/>
          <w:color w:val="000000"/>
          <w:sz w:val="24"/>
        </w:rPr>
        <w:t>Q</w:t>
      </w:r>
      <w:r>
        <w:rPr>
          <w:rFonts w:ascii="Times New Roman" w:hAnsi="Times New Roman"/>
          <w:b/>
          <w:color w:val="000000"/>
          <w:sz w:val="19"/>
        </w:rPr>
        <w:t>UESTIONS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What is insider trading?</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Generallyspeaking, insider trading is the buying or selling of stocks, bonds, futuresor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Bottom line: If you are aware of material nonpublic information about the Company or another publicly-traded company that the Company has relationships with and you trade in the Company’s or such other company’s securities, you have broken the law.</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Why is insider trading illegal?</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What is material nonpublic information?</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Information is material if it would influence a reasonable investor to buy or sell a stock, bond future or other security. This could mean many things: financial results, clinical or regulatory results, potential acquisitions or major contracts to name just a few. Information is nonpublic if it has not yet been publicly disseminated within the meaning of our insider trading policy.</w:t>
      </w:r>
    </w:p>
    <w:p>
      <w:pPr>
        <w:pStyle w:val="HorizontalLine"/>
        <w:pBdr>
          <w:bottom w:val="double" w:sz="2" w:space="0" w:color="808080"/>
        </w:pBdr>
        <w:bidi w:val="0"/>
        <w:spacing w:before="0" w:after="283"/>
        <w:jc w:val="left"/>
        <w:rPr/>
      </w:pPr>
      <w:r>
        <w:r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Who can be guilty of insider trading?</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don’t even work at the Company. Regardless of who you are, if you know something material about the value of a security that not everyone knows and you trade (or convince someone else to trade) in that security, you may be found guilty of insider trading.</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the Company have an insider trading policy?</w:t>
      </w:r>
    </w:p>
    <w:p>
      <w:pPr>
        <w:pStyle w:val="TextBody"/>
        <w:bidi w:val="0"/>
        <w:jc w:val="left"/>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Yes, the insider trading policy is available to read on our website at https://alaunos.com/.</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What if I don’t buy or sell anything, but I tell someone else material nonpublic information and they buy or sell?</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That is called “tipping.” You are the “tipper” and the other person is called the “tippee.” If the tippee buys or sells based on that material nonpublic information, both you and the “tippee”</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color w:val="000000"/>
          <w:sz w:val="24"/>
        </w:rPr>
      </w:pPr>
      <w:r>
        <w:rPr>
          <w:rFonts w:ascii="Times New Roman" w:hAnsi="Times New Roman"/>
          <w:color w:val="000000"/>
          <w:sz w:val="24"/>
        </w:rPr>
        <w:t>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What if I don’t tell them theinformation itself; I justtell them whether they should buy or sell?</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What are the sanctions if I trade on material nonpublic information or tip off someone else?</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In addition to disciplinary action by the Company —which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What is “loss avoided”?</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If you sell common stock or a related derivative security before negative news is publicly announced, and as a result of the announcement the stock price declines, you have avoided the loss caused by the negative news. This is likely insider trading, unless an exception applies.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 I restricted from trading securities of any companies other than the Company, for example a partner, collaborator or competitor of the Company?</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Possibly. U.S. insider trading laws generally restrict everyone aware of material nonpublic information about a company from trading in that company’s securities, regardless of whether the person is directly connected with that company, except in limited circumstances. Therefore, if you have material nonpublic information about another company, you should not trade in that company’s securities. You should be particularly conscious of this restriction if, through your position at the Company, you sometimes obtain sensitive, material information about other companies and their business dealings with the Company.</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 if I do not trade the Company’s securities when I have material nonpublic information, and I don’t “tip” other people, I am in the clear, right?</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39" w:after="283"/>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Not necessarily. Evenif you do not violate U.S. law, you may still violate our policies. For example, employees and consultants may violate our policies by breaching their confidentiality obligations or by recommending Company stock as an investment, even if these actions do not violate securities laws. Our policies are stricter than the law requires so that we and our employees and consultants can avoid even the appearance of wrongdoing. Therefore, please review the entire policy carefully.</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 when can I buy or sell the Company’s securities?</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 xml:space="preserve">If you are aware of material nonpublic information, you may not buy or sell our common stock until two full trading days have elapsed since all of that information was publicly disclosed. At that point, the information is considered publicly disseminated for purposes of our insider trading policy. For example, if we announce material nonpublic information before trading begins on Wednesday, then such information could be considered to no longer be nonpublic under this policy beginning on Friday; if we announce material nonpublic information after trading ends on Wednesday, then such information could be considered to no longer be nonpublic under this policy beginning on Monday. </w:t>
      </w:r>
      <w:r>
        <w:rPr>
          <w:rFonts w:ascii="Times New Roman" w:hAnsi="Times New Roman"/>
          <w:b/>
          <w:color w:val="000000"/>
          <w:sz w:val="24"/>
        </w:rPr>
        <w:t>Even if you are not aware of any material nonpublic information, you may not trade our common stock during any trading “blackout” period</w:t>
      </w:r>
      <w:r>
        <w:rPr>
          <w:rFonts w:ascii="Times New Roman" w:hAnsi="Times New Roman"/>
          <w:color w:val="000000"/>
          <w:sz w:val="24"/>
        </w:rPr>
        <w:t>. Our insider trading policy describes the quarterly trading blackout period, and additional event-specific trading blackout periods may be announced by email or otherwise.</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I have an open order to buy or sell the Company’s securities on the date a blackout period commences, can I leave it to my broker to cancel the open order and avoid executing the trade?</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No, unless it is in connection with a 10b5-1 trading plan (see Question 27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our insider trading policy and may also have violated insider trading laws.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 I allowed to trade derivative securities of the Company’s common stock?</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No. Under our policies, you may not trade in derivative securities related to our common stock, which include publicly-traded call and put options. In addition, under our policies, you may not engage in short selling of our common stock at any time.</w:t>
      </w:r>
    </w:p>
    <w:p>
      <w:pPr>
        <w:pStyle w:val="TextBody"/>
        <w:bidi w:val="0"/>
        <w:jc w:val="both"/>
        <w:rPr>
          <w:color w:val="000000"/>
        </w:rPr>
      </w:pPr>
      <w:r>
        <w:rPr>
          <w:color w:val="000000"/>
        </w:rPr>
        <w:t>“</w:t>
      </w:r>
      <w:r>
        <w:rPr>
          <w:rFonts w:ascii="Times New Roman" w:hAnsi="Times New Roman"/>
          <w:color w:val="000000"/>
          <w:sz w:val="24"/>
        </w:rPr>
        <w:t>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 employee options and other equity awards grantedunder our equity compensation plans, which are not derivative securities for purposes of our policy.</w:t>
      </w:r>
    </w:p>
    <w:p>
      <w:pPr>
        <w:pStyle w:val="HorizontalLine"/>
        <w:pBdr>
          <w:bottom w:val="double" w:sz="2" w:space="0" w:color="808080"/>
        </w:pBdr>
        <w:bidi w:val="0"/>
        <w:spacing w:before="0" w:after="283"/>
        <w:jc w:val="left"/>
        <w:rPr/>
      </w:pPr>
      <w:r>
        <w:rPr/>
      </w:r>
    </w:p>
    <w:p>
      <w:pPr>
        <w:pStyle w:val="TextBody"/>
        <w:bidi w:val="0"/>
        <w:jc w:val="both"/>
        <w:rPr>
          <w:color w:val="000000"/>
        </w:rPr>
      </w:pPr>
      <w:r>
        <w:rPr>
          <w:color w:val="000000"/>
        </w:rPr>
        <w:t>“</w:t>
      </w:r>
      <w:r>
        <w:rPr>
          <w:rFonts w:ascii="Times New Roman" w:hAnsi="Times New Roman"/>
          <w:color w:val="000000"/>
          <w:sz w:val="24"/>
        </w:rPr>
        <w:t>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Why does the Company prohibit trading in derivative securities and short selling?</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We are dedicated to building stockholder value, short selling our common stock conflicts with our values and would not be well-received by our stockholders.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I purchase the Company’s securities on margin or hold them in a margin account?</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Under our policies, you may not purchase our common stock on margin or hold it in a margin account at any time.</w:t>
      </w:r>
    </w:p>
    <w:p>
      <w:pPr>
        <w:pStyle w:val="TextBody"/>
        <w:bidi w:val="0"/>
        <w:jc w:val="both"/>
        <w:rPr>
          <w:color w:val="000000"/>
        </w:rPr>
      </w:pPr>
      <w:r>
        <w:rPr>
          <w:color w:val="000000"/>
        </w:rPr>
        <w:t>“</w:t>
      </w:r>
      <w:r>
        <w:rPr>
          <w:rFonts w:ascii="Times New Roman" w:hAnsi="Times New Roman"/>
          <w:color w:val="000000"/>
          <w:sz w:val="24"/>
        </w:rPr>
        <w:t>Purchasing on margin” is the use of borrowed money from a brokerage firm to purchase our securities. Holding our securities in a margin account includes holding the securities in an account in which the shares can be sold to pay a loan to the brokerage firm.</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Why does the Company prohibit me from purchasing the Company’s securities on margin or holding them in a margin account?</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Margin loans are subject to a margin call whether or not you possess material nonpublic information at the time of the call. If a margin call were to be made at a time when you were aware of material nonpublic information and you could not or did not supply other collateral, you may be liable under insider trading laws because of the sale of the securities (through the margin call).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I pledge my Company shares as collateral for a personal loan?</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No. Pledging your shares as collateral for a personal loan could cause the pledgee to transfer your shares during a trading blackout period or when you are otherwise aware of material nonpublic information. As a result, you may not pledge your shares as collateral for a loan.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I hedge my ownership position in the Company?</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Hedging or monetization transactions, including through the use of financial instruments such as prepaid variable forwards, equity swaps, collars and exchange funds are prohibited by our insider trading policy. Since such hedging transactions allow you to continue to own the Company’s securities obtained through employee benefit plans or otherwise, but without the full risks and rewards of ownership, you may no longer have the same objectives as the Company’s other shareholders. Therefore, our insider trading policy prohibits you from engaging in any such transactions.</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I exercise options granted to me under the Company’s equity compensation plans during a trading blackout period or when I possess material nonpublic information?</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 xml:space="preserve">Yes. You may exercise the options for cash (or via net exercise transaction with the company) and receive shares, but you may not sell the shares (even to pay the exercise price or any taxes due) during a trading blackout period or any time that you are aware of material nonpublicinformation. To be clear, you may </w:t>
      </w:r>
      <w:r>
        <w:rPr>
          <w:rFonts w:ascii="Times New Roman" w:hAnsi="Times New Roman"/>
          <w:color w:val="000000"/>
          <w:sz w:val="24"/>
          <w:u w:val="single"/>
        </w:rPr>
        <w:t xml:space="preserve">not </w:t>
      </w:r>
      <w:r>
        <w:rPr>
          <w:rFonts w:ascii="Times New Roman" w:hAnsi="Times New Roman"/>
          <w:color w:val="000000"/>
          <w:sz w:val="24"/>
        </w:rPr>
        <w:t>effect a broker-assisted cashless exercise (these cashless exercise transactions include a market sale) during a trading blackout period or any time that you are aware of material nonpublic information.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 I subject to trading blackout periods if I am no longer an employee or consultant of the Company?</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our trading blackout period after you leave the Company, you should not trade in the Company’s securities if you are aware of material nonpublic information. That restriction stays with you as long as the information you possess is material and not publicly disseminated within the meaning of our insider trading policy.</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Can I gift stock while I possess material nonpublic information or during a trading blackout period?</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 xml:space="preserve">It depends. Because of the potential for the appearance of impropriety, you may only make </w:t>
      </w:r>
      <w:r>
        <w:rPr>
          <w:rFonts w:ascii="Times New Roman" w:hAnsi="Times New Roman"/>
          <w:i/>
          <w:color w:val="000000"/>
          <w:sz w:val="24"/>
        </w:rPr>
        <w:t xml:space="preserve">bona fide </w:t>
      </w:r>
      <w:r>
        <w:rPr>
          <w:rFonts w:ascii="Times New Roman" w:hAnsi="Times New Roman"/>
          <w:color w:val="000000"/>
          <w:sz w:val="24"/>
        </w:rPr>
        <w:t xml:space="preserve">gifts of our common stock when you are aware of material nonpublic information or during a trading blackout period if (and only if) the gift has been pre-cleared by the Company’s Chief Legal Officer or his or her designee. Whether a gift is truly </w:t>
      </w:r>
      <w:r>
        <w:rPr>
          <w:rFonts w:ascii="Times New Roman" w:hAnsi="Times New Roman"/>
          <w:i/>
          <w:color w:val="000000"/>
          <w:sz w:val="24"/>
        </w:rPr>
        <w:t xml:space="preserve">bona fide </w:t>
      </w:r>
      <w:r>
        <w:rPr>
          <w:rFonts w:ascii="Times New Roman" w:hAnsi="Times New Roman"/>
          <w:color w:val="000000"/>
          <w:sz w:val="24"/>
        </w:rPr>
        <w:t>will depend on the facts and circumstances surrounding each gift.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What if I purchased publicly-traded options or other derivative securities before I became a Covered Person?</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The same rules apply as for employee stock options. You may exercise the publicly- traded options at any time, but you may not sell the securities during a trading blackout period or at any time that you are aware of material nonpublic information.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I own shares of a mutual fund that invests in the Company?</w:t>
      </w:r>
    </w:p>
    <w:p>
      <w:pPr>
        <w:pStyle w:val="TextBody"/>
        <w:bidi w:val="0"/>
        <w:jc w:val="left"/>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Yes.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Are mutual fund shares holding the Company common stock subject to the trading blackout periods?</w:t>
      </w:r>
    </w:p>
    <w:p>
      <w:pPr>
        <w:pStyle w:val="TextBody"/>
        <w:bidi w:val="0"/>
        <w:jc w:val="left"/>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No. You may trade in mutual funds holding the Company common stock at any time.</w:t>
      </w:r>
    </w:p>
    <w:p>
      <w:pPr>
        <w:pStyle w:val="TextBody"/>
        <w:bidi w:val="0"/>
        <w:jc w:val="left"/>
        <w:rPr>
          <w:rFonts w:ascii="sans-serif" w:hAnsi="sans-serif"/>
          <w:color w:val="000000"/>
          <w:sz w:val="22"/>
        </w:rPr>
      </w:pPr>
      <w:r>
        <w:rPr>
          <w:rFonts w:ascii="sans-serif" w:hAnsi="sans-serif"/>
          <w:color w:val="000000"/>
          <w:sz w:val="22"/>
        </w:rPr>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May I use a “routine trading program” or“10b5-1 plan”?</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Subject to the requirements discussed in our insider trading policy and any 10b5-1 trading plan guidelines, eligible persons may use a routine trading program. A routine trading program, also known as a 10b5-1 plan, allows you to set up a highly structured program with your stock broker where you specify ahead of time the date, price, and amount of securities to be traded. If you wish to create a 10b5-1 plan, please contact our legal team to confirm you are an eligible person and to obtain approval.</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What happens if I violate our insider trading policy?</w:t>
      </w:r>
    </w:p>
    <w:p>
      <w:pPr>
        <w:pStyle w:val="TextBody"/>
        <w:bidi w:val="0"/>
        <w:jc w:val="both"/>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Violating our policies may result in disciplinary action, which may include termination of your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4"/>
        </w:rPr>
      </w:pPr>
      <w:r>
        <w:rPr>
          <w:rFonts w:ascii="Times New Roman" w:hAnsi="Times New Roman"/>
          <w:color w:val="000000"/>
          <w:sz w:val="24"/>
        </w:rPr>
        <w:t>employment or other relationship with the Company. In addition, you may be subject to criminal and civil sanctions.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Who should I contact if I have questions about our insider trading policy or specific trades?</w:t>
      </w:r>
    </w:p>
    <w:p>
      <w:pPr>
        <w:pStyle w:val="TextBody"/>
        <w:bidi w:val="0"/>
        <w:jc w:val="left"/>
        <w:rPr>
          <w:rFonts w:ascii="Times New Roman" w:hAnsi="Times New Roman"/>
          <w:sz w:val="20"/>
        </w:rPr>
      </w:pPr>
      <w:r>
        <w:rPr>
          <w:rFonts w:ascii="Times New Roman" w:hAnsi="Times New Roman"/>
          <w:b/>
          <w:color w:val="000000"/>
          <w:sz w:val="24"/>
        </w:rPr>
        <w:t xml:space="preserve">A: </w:t>
      </w:r>
      <w:r>
        <w:rPr>
          <w:rFonts w:ascii="Times New Roman" w:hAnsi="Times New Roman"/>
          <w:color w:val="000000"/>
          <w:sz w:val="24"/>
        </w:rPr>
        <w:t>You should contact our Chief Legal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65" w:name="tcrt-ex23_1.htm"/>
      <w:bookmarkStart w:id="66" w:name="kstcrtex23_1"/>
      <w:bookmarkEnd w:id="65"/>
      <w:bookmarkEnd w:id="66"/>
      <w:r>
        <w:rPr>
          <w:rFonts w:ascii="Arial" w:hAnsi="Arial"/>
          <w:b/>
          <w:color w:val="000000"/>
          <w:sz w:val="20"/>
        </w:rPr>
        <w:t>Exhibit 23.1</w:t>
      </w:r>
      <w:r>
        <w:br w:type="page"/>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hereby consent to the incorporation by reference in the Registration Statements of Alaunos Therapeutics, Inc. (Nos. 333-129884, 333-134280, 333-142701, 333-160496, 333-167925, 333-185433, 333-199304, 333-220804, 333-228291, 333-238090, 333-241698, and 333-263983) on Form S-8 and the Registration Statement (Nos. 333-291002) on Form S-1 and the Registration Statements (Nos. 333</w:t>
        <w:noBreakHyphen/>
        <w:t>134279, 333-141014, 333-162160, 333-229555, 333-266841, and 333-289748) on Form S-3 of our report, dated March 31, 2026, with respect to our audit of the financial statements as of and for the years ended December 31, 2025 and 2024. Our report includes an explanatory paragraph regarding the Company’s ability to continue as a going concern. We also consent to reference to us under the heading “Experts” in such registration statements.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 Cherry Bekaert LLP</w:t>
      </w:r>
    </w:p>
    <w:p>
      <w:pPr>
        <w:pStyle w:val="TextBody"/>
        <w:bidi w:val="0"/>
        <w:jc w:val="both"/>
        <w:rPr>
          <w:rFonts w:ascii="Times New Roman" w:hAnsi="Times New Roman"/>
          <w:color w:val="000000"/>
          <w:sz w:val="20"/>
        </w:rPr>
      </w:pPr>
      <w:r>
        <w:rPr>
          <w:rFonts w:ascii="Times New Roman" w:hAnsi="Times New Roman"/>
          <w:color w:val="000000"/>
          <w:sz w:val="20"/>
        </w:rPr>
        <w:t>Tampa, Florida</w:t>
      </w:r>
    </w:p>
    <w:p>
      <w:pPr>
        <w:pStyle w:val="TextBody"/>
        <w:bidi w:val="0"/>
        <w:jc w:val="both"/>
        <w:rPr>
          <w:rFonts w:ascii="Times New Roman" w:hAnsi="Times New Roman"/>
          <w:color w:val="000000"/>
          <w:sz w:val="20"/>
        </w:rPr>
      </w:pPr>
      <w:r>
        <w:rPr>
          <w:rFonts w:ascii="Times New Roman" w:hAnsi="Times New Roman"/>
          <w:color w:val="000000"/>
          <w:sz w:val="20"/>
        </w:rPr>
        <w:t>March 31, 2026</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7" w:name="tcrt-ex31_1.htm"/>
      <w:bookmarkStart w:id="68" w:name="kstcrtex31_1"/>
      <w:bookmarkEnd w:id="67"/>
      <w:bookmarkEnd w:id="68"/>
      <w:r>
        <w:rPr>
          <w:rFonts w:ascii="Times New Roman" w:hAnsi="Times New Roman"/>
          <w:b/>
          <w:color w:val="000000"/>
          <w:sz w:val="20"/>
        </w:rPr>
        <w:t>Exhibit 31.1</w:t>
      </w:r>
      <w:r>
        <w:br w:type="page"/>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CERTIFICATION OF PRINCIPAL EXECUTIVE OFFICER AND PRINCIPAL FINANCIAL OFFICER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Holger Weis, certify that: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Annual Report on Form 10-K of Alaunos Therapeutics,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31, 2026</w:t>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0"/>
              </w:rPr>
            </w:pPr>
            <w:r>
              <w:rPr>
                <w:rFonts w:ascii="Times New Roman" w:hAnsi="Times New Roman"/>
                <w:color w:val="000000"/>
                <w:sz w:val="20"/>
              </w:rPr>
              <w:t>/s/ Holger Weis</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w:t>
            </w:r>
          </w:p>
        </w:tc>
      </w:tr>
      <w:tr>
        <w:trPr/>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9" w:name="tcrt-ex32_1.htm"/>
      <w:bookmarkStart w:id="70" w:name="kstcrtex32_1"/>
      <w:bookmarkEnd w:id="69"/>
      <w:bookmarkEnd w:id="70"/>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Annual Report of Alaunos Therapeutics, Inc. (the “Company”) on Form 10-K for the year ended December 31, 2025, as filed with the Securities and Exchange Commission on the date hereof (the “Report”), I, Holger Weis, Chief Executive Officer and Director (and Principal Executive Officer and Principal Financial Officer) of the Company, certify, pursuant to 18 U.S.C. Section 1350, as adopted pursuant to Section 906 of the Sarbanes-Oxley Act of 2002,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3135" w:type="dxa"/>
        <w:jc w:val="left"/>
        <w:tblInd w:w="0" w:type="dxa"/>
        <w:tblLayout w:type="fixed"/>
        <w:tblCellMar>
          <w:top w:w="28" w:type="dxa"/>
          <w:left w:w="28" w:type="dxa"/>
          <w:bottom w:w="28" w:type="dxa"/>
          <w:right w:w="28" w:type="dxa"/>
        </w:tblCellMar>
      </w:tblPr>
      <w:tblGrid>
        <w:gridCol w:w="2751"/>
        <w:gridCol w:w="384"/>
      </w:tblGrid>
      <w:tr>
        <w:trPr/>
        <w:tc>
          <w:tcPr>
            <w:tcW w:w="275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Holger Weis</w:t>
            </w:r>
          </w:p>
        </w:tc>
        <w:tc>
          <w:tcPr>
            <w:tcW w:w="3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Holger Weis</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 and</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31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 w:name="sans-serif">
    <w:altName w:val="Arial"/>
    <w:charset w:val="01"/>
    <w:family w:val="auto"/>
    <w:pitch w:val="default"/>
  </w:font>
  <w:font w:name="Symbol">
    <w:altName w:val="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107421/000095017024084024/tcrt-20240716.htm" TargetMode="External"/><Relationship Id="rId3" Type="http://schemas.openxmlformats.org/officeDocument/2006/relationships/hyperlink" Target="https://www.sec.gov/ix?doc=/Archives/edgar/data/0001107421/000095017025095029/tcrt-20250703.htm" TargetMode="External"/><Relationship Id="rId4" Type="http://schemas.openxmlformats.org/officeDocument/2006/relationships/hyperlink" Target="https://www.sec.gov/Archives/edgar/data/1107421/000119312516640603/d220092dex31.htm" TargetMode="External"/><Relationship Id="rId5" Type="http://schemas.openxmlformats.org/officeDocument/2006/relationships/hyperlink" Target="https://www.sec.gov/Archives/edgar/data/1107421/000095017025053523/tcrt-ex3_1.htm" TargetMode="External"/><Relationship Id="rId6" Type="http://schemas.openxmlformats.org/officeDocument/2006/relationships/hyperlink" Target="https://www.sec.gov/Archives/edgar/data/1107421/000095017025090201/tcrt-ex3_1.htm" TargetMode="External"/><Relationship Id="rId7" Type="http://schemas.openxmlformats.org/officeDocument/2006/relationships/hyperlink" Target="https://www.sec.gov/Archives/edgar/data/1107421/000119312526007054/tcrt-ex3_1.htm" TargetMode="External"/><Relationship Id="rId8" Type="http://schemas.openxmlformats.org/officeDocument/2006/relationships/hyperlink" Target="https://www.sec.gov/Archives/edgar/data/1107421/000119312518324941/d601714dex41.htm" TargetMode="External"/><Relationship Id="rId9" Type="http://schemas.openxmlformats.org/officeDocument/2006/relationships/hyperlink" Target="https://www.sec.gov/Archives/edgar/data/1107421/000119312520058863/d861766dex47.htm" TargetMode="External"/><Relationship Id="rId10" Type="http://schemas.openxmlformats.org/officeDocument/2006/relationships/hyperlink" Target="https://www.sec.gov/Archives/edgar/data/1107421/000095017022004972/tcrt-ex4_6.htm" TargetMode="External"/><Relationship Id="rId11" Type="http://schemas.openxmlformats.org/officeDocument/2006/relationships/hyperlink" Target="https://www.sec.gov/Archives/edgar/data/1107421/000095017025077064/tcrt-ex4_1.htm" TargetMode="External"/><Relationship Id="rId12" Type="http://schemas.openxmlformats.org/officeDocument/2006/relationships/hyperlink" Target="https://www.sec.gov/ix?doc=/Archives/edgar/data/0001107421/000095017025083913/tcrt-20250609.htm" TargetMode="External"/><Relationship Id="rId13" Type="http://schemas.openxmlformats.org/officeDocument/2006/relationships/hyperlink" Target="https://www.sec.gov/Archives/edgar/data/1107421/000095017025090202/tcrt-ex4_1.htm" TargetMode="External"/><Relationship Id="rId14" Type="http://schemas.openxmlformats.org/officeDocument/2006/relationships/hyperlink" Target="https://www.sec.gov/Archives/edgar/data/1107421/000095017022004972/tcrt-ex4_7.htm" TargetMode="External"/><Relationship Id="rId15" Type="http://schemas.openxmlformats.org/officeDocument/2006/relationships/hyperlink" Target="https://www.sec.gov/Archives/edgar/data/1107421/000119312520136509/d926789dex993.htm" TargetMode="External"/><Relationship Id="rId16" Type="http://schemas.openxmlformats.org/officeDocument/2006/relationships/hyperlink" Target="https://www.sec.gov/Archives/edgar/data/1107421/000119312520184639/d862521dex101.htm" TargetMode="External"/><Relationship Id="rId17" Type="http://schemas.openxmlformats.org/officeDocument/2006/relationships/hyperlink" Target="https://www.sec.gov/Archives/edgar/data/1107421/000119312521063387/d20446dex109.htm" TargetMode="External"/><Relationship Id="rId18" Type="http://schemas.openxmlformats.org/officeDocument/2006/relationships/hyperlink" Target="https://www.sec.gov/Archives/edgar/data/1107421/000119312521063387/d20446dex1010.htm" TargetMode="External"/><Relationship Id="rId19" Type="http://schemas.openxmlformats.org/officeDocument/2006/relationships/hyperlink" Target="https://www.sec.gov/Archives/edgar/data/1107421/000119312521063387/d20446dex1020.htm" TargetMode="External"/><Relationship Id="rId20" Type="http://schemas.openxmlformats.org/officeDocument/2006/relationships/hyperlink" Target="https://www.sec.gov/Archives/edgar/data/1107421/000119312515023826/d862579dex105.htm" TargetMode="External"/><Relationship Id="rId21" Type="http://schemas.openxmlformats.org/officeDocument/2006/relationships/hyperlink" Target="https://www.sec.gov/Archives/edgar/data/1107421/000119312518323155/d623821dex101.htm" TargetMode="External"/><Relationship Id="rId22" Type="http://schemas.openxmlformats.org/officeDocument/2006/relationships/hyperlink" Target="https://www.sec.gov/Archives/edgar/data/1107421/000119312520286807/d82436dex102.htm" TargetMode="External"/><Relationship Id="rId23" Type="http://schemas.openxmlformats.org/officeDocument/2006/relationships/hyperlink" Target="https://www.sec.gov/Archives/edgar/data/1107421/000095017023020088/tcrt-ex10_1.htm" TargetMode="External"/><Relationship Id="rId24" Type="http://schemas.openxmlformats.org/officeDocument/2006/relationships/hyperlink" Target="https://www.sec.gov/Archives/edgar/data/1107421/000119312515117648/d902541dex101.htm" TargetMode="External"/><Relationship Id="rId25" Type="http://schemas.openxmlformats.org/officeDocument/2006/relationships/hyperlink" Target="https://www.sec.gov/Archives/edgar/data/1107421/000119312515298126/d40873dex101.htm" TargetMode="External"/><Relationship Id="rId26" Type="http://schemas.openxmlformats.org/officeDocument/2006/relationships/hyperlink" Target="https://www.sec.gov/Archives/edgar/data/1107421/000119312519063978/d678734dex1021.htm" TargetMode="External"/><Relationship Id="rId27" Type="http://schemas.openxmlformats.org/officeDocument/2006/relationships/hyperlink" Target="https://www.sec.gov/Archives/edgar/data/1107421/000119312519063978/d678734dex1022.htm" TargetMode="External"/><Relationship Id="rId28" Type="http://schemas.openxmlformats.org/officeDocument/2006/relationships/hyperlink" Target="https://www.sec.gov/Archives/edgar/data/1107421/000119312519063978/d678734dex1023.htm" TargetMode="External"/><Relationship Id="rId29" Type="http://schemas.openxmlformats.org/officeDocument/2006/relationships/hyperlink" Target="https://www.sec.gov/Archives/edgar/data/1107421/000119312519287259/d786918dex107.htm" TargetMode="External"/><Relationship Id="rId30" Type="http://schemas.openxmlformats.org/officeDocument/2006/relationships/hyperlink" Target="https://www.sec.gov/Archives/edgar/data/1107421/000119312520058863/d861766dex1020.htm" TargetMode="External"/><Relationship Id="rId31" Type="http://schemas.openxmlformats.org/officeDocument/2006/relationships/hyperlink" Target="https://www.sec.gov/Archives/edgar/data/1107421/000119312520058863/d861766dex1021.htm" TargetMode="External"/><Relationship Id="rId32" Type="http://schemas.openxmlformats.org/officeDocument/2006/relationships/hyperlink" Target="https://www.sec.gov/Archives/edgar/data/1107421/000119312519216056/d777738dex103.htm" TargetMode="External"/><Relationship Id="rId33" Type="http://schemas.openxmlformats.org/officeDocument/2006/relationships/hyperlink" Target="https://www.sec.gov/Archives/edgar/data/1107421/000119312520058863/d861766dex1023.htm" TargetMode="External"/><Relationship Id="rId34" Type="http://schemas.openxmlformats.org/officeDocument/2006/relationships/hyperlink" Target="https://www.sec.gov/Archives/edgar/data/1107421/000119312520286807/d82436dex101.htm" TargetMode="External"/><Relationship Id="rId35" Type="http://schemas.openxmlformats.org/officeDocument/2006/relationships/hyperlink" Target="https://www.sec.gov/Archives/edgar/data/1107421/000095017022004972/tcrt-ex10_38.htm" TargetMode="External"/><Relationship Id="rId36" Type="http://schemas.openxmlformats.org/officeDocument/2006/relationships/hyperlink" Target="https://www.sec.gov/Archives/edgar/data/1107421/000095017022004972/tcrt-ex10_39.htm" TargetMode="External"/><Relationship Id="rId37" Type="http://schemas.openxmlformats.org/officeDocument/2006/relationships/hyperlink" Target="https://www.sec.gov/Archives/edgar/data/1107421/000095017022004972/tcrt-ex10_40.htm" TargetMode="External"/><Relationship Id="rId38" Type="http://schemas.openxmlformats.org/officeDocument/2006/relationships/hyperlink" Target="https://www.sec.gov/Archives/edgar/data/1107421/000119312519255309/d608895dex101.htm" TargetMode="External"/><Relationship Id="rId39" Type="http://schemas.openxmlformats.org/officeDocument/2006/relationships/hyperlink" Target="https://www.sec.gov/Archives/edgar/data/1107421/000119312519255309/d608895dex102.htm" TargetMode="External"/><Relationship Id="rId40" Type="http://schemas.openxmlformats.org/officeDocument/2006/relationships/hyperlink" Target="https://www.sec.gov/Archives/edgar/data/1107421/000119312519255309/d608895dex103.htm" TargetMode="External"/><Relationship Id="rId41" Type="http://schemas.openxmlformats.org/officeDocument/2006/relationships/hyperlink" Target="https://www.sec.gov/Archives/edgar/data/1107421/000095017022004972/tcrt-ex10_44.htm" TargetMode="External"/><Relationship Id="rId42" Type="http://schemas.openxmlformats.org/officeDocument/2006/relationships/hyperlink" Target="https://www.sec.gov/Archives/edgar/data/1107421/000095017022017225/tcrt-ex10_1.htm" TargetMode="External"/><Relationship Id="rId43" Type="http://schemas.openxmlformats.org/officeDocument/2006/relationships/hyperlink" Target="https://www.sec.gov/Archives/edgar/data/1107421/000119312521063387/d20446dex1039.htm" TargetMode="External"/><Relationship Id="rId44" Type="http://schemas.openxmlformats.org/officeDocument/2006/relationships/hyperlink" Target="https://www.sec.gov/Archives/edgar/data/1107421/000119312521063387/d20446dex1040.htm" TargetMode="External"/><Relationship Id="rId45" Type="http://schemas.openxmlformats.org/officeDocument/2006/relationships/hyperlink" Target="https://www.sec.gov/Archives/edgar/data/1107421/000119312521063387/d20446dex1041.htm" TargetMode="External"/><Relationship Id="rId46" Type="http://schemas.openxmlformats.org/officeDocument/2006/relationships/hyperlink" Target="https://www.sec.gov/Archives/edgar/data/1107421/000119312521063387/d20446dex1042.htm" TargetMode="External"/><Relationship Id="rId47" Type="http://schemas.openxmlformats.org/officeDocument/2006/relationships/hyperlink" Target="https://www.sec.gov/Archives/edgar/data/1107421/000119312521063387/d20446dex1043.htm" TargetMode="External"/><Relationship Id="rId48" Type="http://schemas.openxmlformats.org/officeDocument/2006/relationships/hyperlink" Target="https://www.sec.gov/Archives/edgar/data/1107421/000119312521030026/d122203dex101.htm" TargetMode="External"/><Relationship Id="rId49" Type="http://schemas.openxmlformats.org/officeDocument/2006/relationships/hyperlink" Target="https://www.sec.gov/Archives/edgar/data/1107421/000095017021003463/ziop-ex10_1.htm" TargetMode="External"/><Relationship Id="rId50" Type="http://schemas.openxmlformats.org/officeDocument/2006/relationships/hyperlink" Target="https://www.sec.gov/Archives/edgar/data/1107421/000095017022004972/tcrt-ex10_52.htm" TargetMode="External"/><Relationship Id="rId51" Type="http://schemas.openxmlformats.org/officeDocument/2006/relationships/hyperlink" Target="https://www.sec.gov/Archives/edgar/data/1107421/000095017025047758/tcrt-ex10_60.htm" TargetMode="External"/><Relationship Id="rId52" Type="http://schemas.openxmlformats.org/officeDocument/2006/relationships/hyperlink" Target="https://www.sec.gov/Archives/edgar/data/1107421/000095017025047758/tcrt-ex10_59.htm" TargetMode="External"/><Relationship Id="rId53" Type="http://schemas.openxmlformats.org/officeDocument/2006/relationships/hyperlink" Target="https://www.sec.gov/Archives/edgar/data/1107421/000119312526007054/tcrt-ex10_1.htm" TargetMode="External"/><Relationship Id="rId54" Type="http://schemas.openxmlformats.org/officeDocument/2006/relationships/hyperlink" Target="https://www.sec.gov/Archives/edgar/data/1107421/000095017025047758/tcrt-ex97_1.htm" TargetMode="External"/><Relationship Id="rId55" Type="http://schemas.openxmlformats.org/officeDocument/2006/relationships/fontTable" Target="fontTable.xml"/><Relationship Id="rId5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54603</Words>
  <Characters>302301</Characters>
  <CharactersWithSpaces>357082</CharactersWithSpaces>
  <Paragraphs>5179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