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820" w:right="1620" w:hanging="3799"/>
        <w:spacing w:after="0" w:line="360"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Alaunos Therapeutics, Inc.</w:t>
      </w:r>
    </w:p>
    <w:p>
      <w:pPr>
        <w:sectPr>
          <w:pgSz w:w="11900" w:h="16838" w:orient="portrait"/>
          <w:cols w:equalWidth="0" w:num="1">
            <w:col w:w="11240"/>
          </w:cols>
          <w:pgMar w:left="320" w:top="605"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84-1475642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0" w:lineRule="exact"/>
        <w:rPr>
          <w:sz w:val="24"/>
          <w:szCs w:val="24"/>
          <w:color w:val="auto"/>
        </w:rPr>
      </w:pPr>
    </w:p>
    <w:p>
      <w:pPr>
        <w:sectPr>
          <w:pgSz w:w="11900" w:h="16838" w:orient="portrait"/>
          <w:cols w:equalWidth="0" w:num="2">
            <w:col w:w="7620" w:space="320"/>
            <w:col w:w="3300"/>
          </w:cols>
          <w:pgMar w:left="320" w:top="60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8030 El Rio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TX 77054</w:t>
      </w: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(346) 355-4099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TCRT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4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6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6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11, 2022, the number of outstanding shares of the registrant's common stock, $0.001 par value, was 215,950,561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“will” and other words and terms of similar meaning.</w:t>
      </w:r>
    </w:p>
    <w:p>
      <w:pPr>
        <w:spacing w:after="0" w:line="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w:t>
      </w:r>
    </w:p>
    <w:p>
      <w:pPr>
        <w:spacing w:after="0" w:line="73" w:lineRule="exact"/>
        <w:rPr>
          <w:sz w:val="20"/>
          <w:szCs w:val="20"/>
          <w:color w:val="auto"/>
        </w:rPr>
      </w:pPr>
    </w:p>
    <w:p>
      <w:pPr>
        <w:ind w:left="1020" w:right="7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capital to continue as a going concern, fund our planned operations and repay our existing indebtedness;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expenses, use of cash, timing of future cash needs and anticipated capital requirements;</w:t>
      </w:r>
    </w:p>
    <w:p>
      <w:pPr>
        <w:spacing w:after="0" w:line="10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including statements regarding the initiation, timing, progress and results of our preclinical studies, clinical trials and research and development programs;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through various stages of development, especially through pivotal safety and efficacy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final trial data may not support interim analysis of the viability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safety and efficacy of our product candidates;</w:t>
      </w:r>
    </w:p>
    <w:p>
      <w:pPr>
        <w:spacing w:after="0" w:line="103"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from the U.S. Food and Drug Administration, or FDA, or equivalent foreign regulatory agencies for our product candidates and for which indications;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relating to our product candidates from third parties and to comply with our existing license agreements;</w:t>
      </w:r>
    </w:p>
    <w:p>
      <w:pPr>
        <w:spacing w:after="0" w:line="54"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partnerships or strategic collaboration agreements and our ability to achieve the results and potential benefits contemplated from relationships with collaborators;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licenses;</w:t>
      </w:r>
    </w:p>
    <w:p>
      <w:pPr>
        <w:spacing w:after="0" w:line="10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developments and projections relating to competition from other pharmaceutical and biotechnology companies or our industry;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and degree of commercial scope and potential, as well as market acceptance of our product candidates for any indication, if approved;</w:t>
      </w:r>
    </w:p>
    <w:p>
      <w:pPr>
        <w:spacing w:after="0" w:line="67"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strength and enforceability of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including the expected duration of disruption to key clinical trial activities, limitations on travel, quarantine and social distancing protocols, diversion of healthcare resources away from the conduct of our clinical trials, and other immediate and long-term impacts and effects on our business and operations.</w:t>
      </w:r>
    </w:p>
    <w:p>
      <w:pPr>
        <w:spacing w:after="0" w:line="6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“Alaunos,” the “Company,” “we,” “us” or “our” refer to Alaunos Therapeutics, Inc., and its subsidiaries.</w:t>
      </w:r>
    </w:p>
    <w:p>
      <w:pPr>
        <w:spacing w:after="0" w:line="4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3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Some of the more significant risks include the following:</w:t>
      </w:r>
    </w:p>
    <w:p>
      <w:pPr>
        <w:spacing w:after="0" w:line="90" w:lineRule="exact"/>
        <w:rPr>
          <w:sz w:val="20"/>
          <w:szCs w:val="20"/>
          <w:color w:val="auto"/>
        </w:rPr>
      </w:pPr>
    </w:p>
    <w:p>
      <w:pPr>
        <w:ind w:left="1020" w:right="8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financial resources to continue as a going concern,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82"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applicable listing standards, our common stock may be delisted from the Nasdaq Global Select Market. Delisting could prevent us from maintaining an active, liquid and orderly trading market.</w:t>
      </w:r>
    </w:p>
    <w:p>
      <w:pPr>
        <w:spacing w:after="0" w:line="54"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effect a reverse stock split of our common stock, but it may not result in the intended benefits. If we implement a reverse stock split, liquidity of our common stock may be adversely affected.</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non-viral adoptive cellular therapies based on T-cell receptor, or TCR, therapies can be considered as new approaches to cancer treatment, the successful development of which is subject to significant challenges.</w:t>
      </w:r>
    </w:p>
    <w:p>
      <w:pPr>
        <w:spacing w:after="0" w:line="54"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40"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attract, recruit and retain qualified personnel, and we will continue to rely on key scientific and medical advisors, and their knowledge of our business and technical expertise would be difficult to replace.</w:t>
      </w:r>
    </w:p>
    <w:p>
      <w:pPr>
        <w:spacing w:after="0" w:line="67"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together with our other financial obligations and contractual commitments, could adversely affect our financial condition and restrict our future operations. For instance, if we fail to achieve certain clinical milestones or equity raise requirements, we will be required to deposit a significant amount of cash into an account to be held as collateral.</w:t>
      </w:r>
    </w:p>
    <w:p>
      <w:pPr>
        <w:spacing w:after="0" w:line="82"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the necessary United States or worldwide regulatory approvals to commercialize any product candidate, our business will suffer.</w:t>
      </w:r>
    </w:p>
    <w:p>
      <w:pPr>
        <w:spacing w:after="0" w:line="54"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various stages of clinical trials, which are very expensive and time-consuming. We cannot be certain when we will be able to submit a Biologics License Application, or BLA, to the FDA and any failure or delay in completing clinical trials for our product candidates could harm our business.</w:t>
      </w:r>
    </w:p>
    <w:p>
      <w:pPr>
        <w:spacing w:after="0" w:line="6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cell-based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69"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immuno-oncology product candidates may face competition in the future from biosimilars.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w:t>
      </w:r>
    </w:p>
    <w:p>
      <w:pPr>
        <w:spacing w:after="0" w:line="103"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clinical research organizations, or CROs, shippers and others.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Pr>
          <w:p>
            <w:pPr>
              <w:spacing w:after="0"/>
              <w:rPr>
                <w:sz w:val="24"/>
                <w:szCs w:val="24"/>
                <w:color w:val="auto"/>
              </w:rPr>
            </w:pPr>
          </w:p>
        </w:tc>
      </w:tr>
      <w:tr>
        <w:trPr>
          <w:trHeight w:val="36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3"/>
        </w:trPr>
        <w:tc>
          <w:tcPr>
            <w:tcW w:w="1160" w:type="dxa"/>
            <w:vAlign w:val="bottom"/>
          </w:tcPr>
          <w:p>
            <w:pPr>
              <w:spacing w:after="0"/>
              <w:rPr>
                <w:sz w:val="15"/>
                <w:szCs w:val="15"/>
                <w:color w:val="auto"/>
              </w:rPr>
            </w:pPr>
          </w:p>
        </w:tc>
        <w:tc>
          <w:tcPr>
            <w:tcW w:w="23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Balance Sheets as of March 31,</w:t>
            </w:r>
          </w:p>
        </w:tc>
        <w:tc>
          <w:tcPr>
            <w:tcW w:w="20" w:type="dxa"/>
            <w:vAlign w:val="bottom"/>
            <w:tcBorders>
              <w:top w:val="single" w:sz="8" w:color="0000EE"/>
            </w:tcBorders>
          </w:tcPr>
          <w:p>
            <w:pPr>
              <w:spacing w:after="0"/>
              <w:rPr>
                <w:sz w:val="15"/>
                <w:szCs w:val="15"/>
                <w:color w:val="auto"/>
              </w:rPr>
            </w:pPr>
          </w:p>
        </w:tc>
        <w:tc>
          <w:tcPr>
            <w:tcW w:w="690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2022 (unaudited) and December 31,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183"/>
        </w:trPr>
        <w:tc>
          <w:tcPr>
            <w:tcW w:w="1160" w:type="dxa"/>
            <w:vAlign w:val="bottom"/>
          </w:tcPr>
          <w:p>
            <w:pPr>
              <w:spacing w:after="0"/>
              <w:rPr>
                <w:sz w:val="15"/>
                <w:szCs w:val="15"/>
                <w:color w:val="auto"/>
              </w:rPr>
            </w:pPr>
          </w:p>
        </w:tc>
        <w:tc>
          <w:tcPr>
            <w:tcW w:w="532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9"/>
              </w:rPr>
              <w:t>Statements of Operations for the Periods Ended March 31, 2022 and 2021</w:t>
            </w:r>
          </w:p>
        </w:tc>
        <w:tc>
          <w:tcPr>
            <w:tcW w:w="3980" w:type="dxa"/>
            <w:vAlign w:val="bottom"/>
            <w:gridSpan w:val="5"/>
          </w:tcPr>
          <w:p>
            <w:pPr>
              <w:ind w:left="60"/>
              <w:spacing w:after="0" w:line="182" w:lineRule="exact"/>
              <w:rPr>
                <w:sz w:val="20"/>
                <w:szCs w:val="20"/>
                <w:color w:val="auto"/>
              </w:rPr>
            </w:pPr>
            <w:r>
              <w:rPr>
                <w:rFonts w:ascii="Times New Roman" w:cs="Times New Roman" w:eastAsia="Times New Roman" w:hAnsi="Times New Roman"/>
                <w:sz w:val="18"/>
                <w:szCs w:val="18"/>
                <w:color w:val="0000FF"/>
              </w:rPr>
              <w:t>(unaudited)</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183"/>
        </w:trPr>
        <w:tc>
          <w:tcPr>
            <w:tcW w:w="1160" w:type="dxa"/>
            <w:vAlign w:val="bottom"/>
          </w:tcPr>
          <w:p>
            <w:pPr>
              <w:spacing w:after="0"/>
              <w:rPr>
                <w:sz w:val="15"/>
                <w:szCs w:val="15"/>
                <w:color w:val="auto"/>
              </w:rPr>
            </w:pPr>
          </w:p>
        </w:tc>
        <w:tc>
          <w:tcPr>
            <w:tcW w:w="622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Statements of Changes in Stockholders’ Equity for the Periods Ended March 31, 2022</w:t>
            </w:r>
          </w:p>
        </w:tc>
        <w:tc>
          <w:tcPr>
            <w:tcW w:w="308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color w:val="0000FF"/>
              </w:rPr>
              <w:t>and 2021 (unaudited)</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1160" w:type="dxa"/>
            <w:vAlign w:val="bottom"/>
          </w:tcPr>
          <w:p>
            <w:pPr>
              <w:spacing w:after="0"/>
              <w:rPr>
                <w:sz w:val="15"/>
                <w:szCs w:val="15"/>
                <w:color w:val="auto"/>
              </w:rPr>
            </w:pPr>
          </w:p>
        </w:tc>
        <w:tc>
          <w:tcPr>
            <w:tcW w:w="780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Statements of Cash Flows for the Periods Ended March 31, 2022 and 2021 (unaudited)</w:t>
            </w:r>
          </w:p>
        </w:tc>
        <w:tc>
          <w:tcPr>
            <w:tcW w:w="15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r>
      <w:tr>
        <w:trPr>
          <w:trHeight w:val="183"/>
        </w:trPr>
        <w:tc>
          <w:tcPr>
            <w:tcW w:w="1160" w:type="dxa"/>
            <w:vAlign w:val="bottom"/>
          </w:tcPr>
          <w:p>
            <w:pPr>
              <w:spacing w:after="0"/>
              <w:rPr>
                <w:sz w:val="15"/>
                <w:szCs w:val="15"/>
                <w:color w:val="auto"/>
              </w:rPr>
            </w:pPr>
          </w:p>
        </w:tc>
        <w:tc>
          <w:tcPr>
            <w:tcW w:w="62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Financial Statements (unaudited)</w:t>
            </w:r>
          </w:p>
        </w:tc>
        <w:tc>
          <w:tcPr>
            <w:tcW w:w="200" w:type="dxa"/>
            <w:vAlign w:val="bottom"/>
          </w:tcPr>
          <w:p>
            <w:pPr>
              <w:spacing w:after="0"/>
              <w:rPr>
                <w:sz w:val="15"/>
                <w:szCs w:val="15"/>
                <w:color w:val="auto"/>
              </w:rPr>
            </w:pP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384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w:t>
            </w:r>
          </w:p>
        </w:tc>
        <w:tc>
          <w:tcPr>
            <w:tcW w:w="54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20" w:type="dxa"/>
            <w:vAlign w:val="bottom"/>
            <w:tcBorders>
              <w:top w:val="single" w:sz="8" w:color="0000FF"/>
            </w:tcBorders>
            <w:gridSpan w:val="5"/>
          </w:tcPr>
          <w:p>
            <w:pPr>
              <w:spacing w:after="0"/>
              <w:rPr>
                <w:sz w:val="15"/>
                <w:szCs w:val="15"/>
                <w:color w:val="auto"/>
              </w:rPr>
            </w:pPr>
          </w:p>
        </w:tc>
        <w:tc>
          <w:tcPr>
            <w:tcW w:w="40" w:type="dxa"/>
            <w:vAlign w:val="bottom"/>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r>
      <w:tr>
        <w:trPr>
          <w:trHeight w:val="42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4"/>
                <w:szCs w:val="24"/>
                <w:color w:val="auto"/>
              </w:rPr>
            </w:pPr>
          </w:p>
        </w:tc>
      </w:tr>
      <w:tr>
        <w:trPr>
          <w:trHeight w:val="36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3"/>
          </w:tcPr>
          <w:p>
            <w:pPr>
              <w:spacing w:after="0"/>
              <w:rPr>
                <w:sz w:val="15"/>
                <w:szCs w:val="15"/>
                <w:color w:val="auto"/>
              </w:rPr>
            </w:pPr>
          </w:p>
        </w:tc>
        <w:tc>
          <w:tcPr>
            <w:tcW w:w="2020" w:type="dxa"/>
            <w:vAlign w:val="bottom"/>
            <w:gridSpan w:val="5"/>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6"/>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3"/>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62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720" w:type="dxa"/>
            <w:vAlign w:val="bottom"/>
            <w:gridSpan w:val="13"/>
          </w:tcPr>
          <w:p>
            <w:pPr>
              <w:jc w:val="right"/>
              <w:ind w:right="820"/>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1"/>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41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 non-current portion</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8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1"/>
        </w:trPr>
        <w:tc>
          <w:tcPr>
            <w:tcW w:w="76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350,000,000 shares authorized, 215,950,561 shares issued and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outstanding at March 31, 2022 and 350,000,000 shares authorized, 216,127,443 shares issued and</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901,546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(852,640 )</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(842,852 )</w:t>
            </w: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84,991</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8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-3642360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-3642360</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-2802890</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-2785110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-2802890</wp:posOffset>
            </wp:positionV>
            <wp:extent cx="51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-2785110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-1816735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-1250950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-1250950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(703 )</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(9,788 )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(21,554 )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(9,788 )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(21,554 )</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1"/>
        </w:trPr>
        <w:tc>
          <w:tcPr>
            <w:tcW w:w="7680" w:type="dxa"/>
            <w:vAlign w:val="bottom"/>
          </w:tcPr>
          <w:p>
            <w:pPr>
              <w:ind w:left="200"/>
              <w:spacing w:after="0" w:line="151" w:lineRule="exact"/>
              <w:rPr>
                <w:sz w:val="20"/>
                <w:szCs w:val="20"/>
                <w:color w:val="auto"/>
              </w:rPr>
            </w:pPr>
            <w:r>
              <w:rPr>
                <w:rFonts w:ascii="Times New Roman" w:cs="Times New Roman" w:eastAsia="Times New Roman" w:hAnsi="Times New Roman"/>
                <w:sz w:val="17"/>
                <w:szCs w:val="17"/>
                <w:color w:val="auto"/>
              </w:rPr>
              <w:t>Weighted average number of common shares outstanding used to compute basic and diluted net loss</w:t>
            </w:r>
          </w:p>
        </w:tc>
        <w:tc>
          <w:tcPr>
            <w:tcW w:w="3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214,946,569</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213,954,665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6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per share</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-1285240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-1285240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-573405</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-573405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-282575</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-282575</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-264795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06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80" w:type="dxa"/>
            <w:vAlign w:val="bottom"/>
          </w:tcPr>
          <w:p>
            <w:pPr>
              <w:spacing w:after="0"/>
              <w:rPr>
                <w:sz w:val="13"/>
                <w:szCs w:val="13"/>
                <w:color w:val="auto"/>
              </w:rPr>
            </w:pPr>
          </w:p>
        </w:tc>
        <w:tc>
          <w:tcPr>
            <w:tcW w:w="1200" w:type="dxa"/>
            <w:vAlign w:val="bottom"/>
            <w:gridSpan w:val="3"/>
          </w:tcPr>
          <w:p>
            <w:pPr>
              <w:jc w:val="right"/>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2"/>
          </w:tcPr>
          <w:p>
            <w:pPr>
              <w:jc w:val="center"/>
              <w:ind w:right="13"/>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8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214,591,906</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215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887,868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(764,101</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123,982</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352,442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313,326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(21,554 )</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(21,554 )</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215,257,674</w:t>
            </w:r>
          </w:p>
        </w:tc>
        <w:tc>
          <w:tcPr>
            <w:tcW w:w="200" w:type="dxa"/>
            <w:vAlign w:val="bottom"/>
          </w:tcPr>
          <w:p>
            <w:pPr>
              <w:spacing w:after="0"/>
              <w:rPr>
                <w:sz w:val="18"/>
                <w:szCs w:val="18"/>
                <w:color w:val="auto"/>
              </w:rPr>
            </w:pPr>
          </w:p>
        </w:tc>
        <w:tc>
          <w:tcPr>
            <w:tcW w:w="80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215</w:t>
            </w:r>
          </w:p>
        </w:tc>
        <w:tc>
          <w:tcPr>
            <w:tcW w:w="2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891,081</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(785,655 )</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216,127,443</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216</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3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(842,852 )</w:t>
            </w:r>
          </w:p>
        </w:tc>
        <w:tc>
          <w:tcPr>
            <w:tcW w:w="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(176,882 )</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(9,788 )</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(9,788 )</w:t>
            </w:r>
          </w:p>
        </w:tc>
        <w:tc>
          <w:tcPr>
            <w:tcW w:w="0" w:type="dxa"/>
            <w:vAlign w:val="bottom"/>
          </w:tcPr>
          <w:p>
            <w:pPr>
              <w:spacing w:after="0"/>
              <w:rPr>
                <w:sz w:val="1"/>
                <w:szCs w:val="1"/>
                <w:color w:val="auto"/>
              </w:rPr>
            </w:pPr>
          </w:p>
        </w:tc>
      </w:tr>
      <w:tr>
        <w:trPr>
          <w:trHeight w:val="249"/>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215,950,561</w:t>
            </w: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216</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901,546</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(852,640</w:t>
            </w:r>
          </w:p>
        </w:tc>
        <w:tc>
          <w:tcPr>
            <w:tcW w:w="1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-1585595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-1585595</wp:posOffset>
            </wp:positionV>
            <wp:extent cx="43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-1585595</wp:posOffset>
            </wp:positionV>
            <wp:extent cx="34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-1585595</wp:posOffset>
            </wp:positionV>
            <wp:extent cx="43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-1585595</wp:posOffset>
            </wp:positionV>
            <wp:extent cx="43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-1028065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-1028065</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-1028065</wp:posOffset>
            </wp:positionV>
            <wp:extent cx="4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431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34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43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3560" w:type="dxa"/>
            <w:vAlign w:val="bottom"/>
            <w:gridSpan w:val="6"/>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76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(9,788 )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(21,554 )</w:t>
            </w: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1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Right-of-use asset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(763 )</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(214 )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(2,684 )</w:t>
            </w:r>
          </w:p>
        </w:tc>
      </w:tr>
      <w:tr>
        <w:trPr>
          <w:trHeight w:val="216"/>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0"/>
        </w:trPr>
        <w:tc>
          <w:tcPr>
            <w:tcW w:w="76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(7,770 )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(15,313 )</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10"/>
        </w:trPr>
        <w:tc>
          <w:tcPr>
            <w:tcW w:w="76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8"/>
                <w:szCs w:val="18"/>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115,069</w:t>
            </w:r>
          </w:p>
        </w:tc>
        <w:tc>
          <w:tcPr>
            <w:tcW w:w="8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100,056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included in accrued expenses and accounts payable related to property and equipment</w:t>
            </w:r>
          </w:p>
        </w:tc>
        <w:tc>
          <w:tcPr>
            <w:tcW w:w="1040" w:type="dxa"/>
            <w:vAlign w:val="bottom"/>
            <w:tcBorders>
              <w:top w:val="single" w:sz="8" w:color="auto"/>
              <w:bottom w:val="single" w:sz="8" w:color="auto"/>
            </w:tcBorders>
          </w:tcPr>
          <w:p>
            <w:pPr>
              <w:jc w:val="right"/>
              <w:ind w:right="8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-1919605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-1919605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-1344930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-1344930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-1062355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-1062355</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-488315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-471170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-488315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-471170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-187960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Alaunos Therapeutics, Inc., which is referred to herein as “Alaunos,” or the “Company,” is a clinical-stage oncology-focused cell therapy company developing adoptive TCR-T cell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and its cancer hotspot mutation TCR library to design and manufacture personalized cell therapies that target neoantigens arising from shared tumor-specific mutations in key oncogenic genes, including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p>
    <w:p>
      <w:pPr>
        <w:spacing w:after="0" w:line="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operations to date have consisted primarily of conducting research and development and raising capital to fund those efforts. In May 2021, the Company announced that it will be winding down its existing Controlled IL-12 clinical program. The Company continues to seek a partner for this program.</w:t>
      </w:r>
    </w:p>
    <w:p>
      <w:pPr>
        <w:spacing w:after="0" w:line="6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and commitments in the normal course of business. The Company follows the guidance of Accounting Standards Codification ("ASC") Topic 205-40, Presentation of Financial Statements - Going Concern, in order to determine whether there is substantial doubt about its ability to continue as a going concern for one year after the date its financial statements are issued.</w:t>
      </w:r>
    </w:p>
    <w:p>
      <w:pPr>
        <w:spacing w:after="0" w:line="8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The Company has operated at a loss since its inception in 2003 and has no recurring revenue from operations. The Company anticipates that losses will continue for the foreseeable future. As of March 31, 2022, the Company had approximately $68.3 million of cash and cash equivalents. The Company’s accumulated deficit at March 31, 2022 was approximately $852.6 million. Given its current development plans and cash management efforts, the Company anticipates cash resources will be sufficient to fund operations into the second quarter of 2023. The Company’s ability to continue operations after its current cash resources are exhausted depends on its ability to obtain additional financing or to achieve profitable operations,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the Company's present capital resources will not be sufficient to fund its planned operations for at least one year from the issuance date of the financial statements, which raises substantial doubt as to the Company's ability to continue as a going concern. This forecast of cash resource is forward-looking information that involves risks and uncertainties, and the actual amount of expenses could vary materially and adversely as a result of a number of factors.</w:t>
      </w:r>
    </w:p>
    <w:p>
      <w:pPr>
        <w:spacing w:after="0" w:line="6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2022, there were 215,950,561 shares of common stock outstanding and an additional 33,891,996 shares of common stock reserved for issuance pursuant to outstanding stock options and warrants.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0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the instructions to Form 10-Q pursuant to the rules and regulations of the Securities and Exchange Commission, or the SEC. Certain information and note disclosures required by generally accepted accounting principles in the United States, or GAAP, have been condensed or omitted pursuant to such rules and regulations.</w:t>
      </w:r>
    </w:p>
    <w:p>
      <w:pPr>
        <w:spacing w:after="0" w:line="6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It is management’s opinion that the accompanying unaudited interim financial statements reflect all adjustments (which are normal and recurring) that are necessary for a fair presentation of the financial position of the Company and its results of operations and cash flows for the periods presented. The unaudited interim financial statements should be read in conjunction with the audited financial statements and the notes thereto for the year ended December 31, 2021, included in the Company’s Annual Report on Form 10-K for the fiscal year ended December 31, 2021 filed with the SEC on March 30, 2022, or the Annual Report.</w:t>
      </w:r>
    </w:p>
    <w:p>
      <w:pPr>
        <w:spacing w:after="0" w:line="6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results disclosed in the statements of operations for the three months ended March 31, 2022 are not necessarily indicative of the results to be expected for the full fiscal year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Although the Company regularly assesses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estimates, actual results could differ from those estimates. Changes in estimates are recorded in the period in which they become known.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most significant estimates and judgments used in the preparation of its financial statements are:</w:t>
      </w:r>
    </w:p>
    <w:p>
      <w:pPr>
        <w:spacing w:after="0" w:line="117"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and other research and development expenses;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 of stock-based compensation;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10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With the ongoing COVID-19 pandemic, the Company has implemented business continuity plans designed to address and mitigate the impact of the COVID-19 pandemic on its business and operations. The Company continues to evaluate the impact of the COVID-19 global pandemic on patients, healthcare providers and its employees, as well as its operations and the operations of its business partners and healthcare communities. In response to the COVID-19 pandemic, the Company has implemented policies at its locations to mitigate the risk of exposure to COVID-19 by its personnel. The extent to which the COVID-19 pandemic impacts the Company’s business, clinical development and regulatory efforts and the value of its common stock, will depend on future developments that are highly uncertain and cannot be predicted with confidence at this time, such as the ultimate duration of the pandemic, travel restrictions, quarantines, social distancing and business closure requirements, the result of vaccination efforts and the effectiveness of any other actions taken globally to contain and treat the disease. The global economic slowdown, the overall disruption of global healthcare systems and the other risks and uncertainties associated with the COVID-19 pandemic could have a material adverse effect on the Company’s business, financial condition, results of operations and growth prospects.</w:t>
      </w:r>
    </w:p>
    <w:p>
      <w:pPr>
        <w:spacing w:after="0" w:line="18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August 6, 2021, the Company entered into a Loan and Security Agreement with Silicon Valley Bank and affiliates of Silicon Valley Bank (collectively, "SVB") (the "Loan and Security Agreement"). The Loan and Security Agreement provided for an initial term loan of $25.0 million funded at the closing ("Term A Tranche"), with an additional tranche of $25.0 million available if certain funding and clinical milestones were met by August 31, 2022 ("Term B Tranche").</w:t>
      </w:r>
    </w:p>
    <w:p>
      <w:pPr>
        <w:spacing w:after="0" w:line="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Effective December 28, 2021, the Company, entered into a First Amendment (the “Amendment”) to the Loan and Security Agreement (as so amended, the "Amended Loan and Security Agreement").</w:t>
      </w:r>
    </w:p>
    <w:p>
      <w:pPr>
        <w:spacing w:after="0" w:line="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Amended Loan and Security Agreement extends the interest-only period through August 31, 2022, and provides for an automatic extension through August 31, 2023, if the Amended Milestones (as defined below) are met by August 31, 2022. The Amendment eliminated the Term B Tranche, which remained unfunded, leaving only the Term A Tranche (the "SVB Facility"). Under the Amended Loan and Security Agreement, the SVB Facility will mature on August 1, 2023; however, if the Company achieves the Amended Milestones on or prior to August 31, 2022, then the maturity will automatically extend to August 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Loan and Security Agreement and the Amended Loan and Security Agreement.</w:t>
      </w:r>
    </w:p>
    <w:p>
      <w:pPr>
        <w:spacing w:after="0" w:line="223"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were identified in the Company’s Annual Report. There have been no material changes in those policies since the filing of its Annual Report.</w:t>
      </w:r>
    </w:p>
    <w:p>
      <w:pPr>
        <w:spacing w:after="0" w:line="17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debt obligation were as follows: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Loan and Security Agreement</w:t>
            </w:r>
          </w:p>
        </w:tc>
        <w:tc>
          <w:tcPr>
            <w:tcW w:w="3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(998 )</w:t>
            </w:r>
          </w:p>
        </w:tc>
      </w:tr>
      <w:tr>
        <w:trPr>
          <w:trHeight w:val="209"/>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(13,993 )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of March 31, 2022, the SVB Facility was fully drawn in the amount of $25.0 million. The SVB Facility bears interest at a floating rate per annum on outstanding loans, payable monthly, at the greater of (a) 7.75% and (b) the current published U.S. prime rate, plus a margin of 4.5%. As of March 31, 2022, interest on the outstanding loans was 8.00%. The Amended Loan and Security Agreement provides for an interest-only period which extends through August 31, 2022 and may be automatically extended through August 31, 2023 if, on or prior to August 31, 2022, SVB receives evidence satisfactory to it, confirming that the Company has (i) received at least $50.0 million in net cash proceeds from the sale of the Company’s equity securities after the date of the Amended Loan and Security Agreement, on terms and conditions acceptable to SVB, and (ii) achieved positive data in the first cohort of the Library TCR-T Trial endorsed by an independent safety monitoring committee as a safe dose to proceed (together, the “Amended Milestones”). After the interest-only payment period, aggregate outstanding borrowings are payable in twelve consecutive, equal monthly installments of principal plus accrued interest.</w:t>
      </w:r>
    </w:p>
    <w:p>
      <w:pPr>
        <w:spacing w:after="0" w:line="7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All outstanding principal and accrued and unpaid interest under the SVB Facility and all other outstanding obligations under the Amended Loan and Security Agreement are due and payable on August 1, 2023; however, if the Company achieves the Amended Milestones on or prior to August 31, 2022, then the maturity will be automatically extended to August 1, 2024. In addition to the payment of the outstanding principal plus accrued interest due, the Company will also owe SVB 5.75% of the original principal amounts borrowed as a final payment (the "Final Payment"). The Company is permitted to make up to two prepayments, subject to the prepayment premium, of the SVB Facility, each payment of at least $5.0 million. Such prepayment premium would be 3.00% of the principal amount of the SVB Facility if prepaid prior to the first anniversary of the effective date, 2.00% of the principal amount of the SVB Facility if prepaid on or after the first anniversary of the effective date but prior to the second anniversary of the effective date and 1.00% of the principal amount of the SVB Facility if prepaid on or after the second anniversary of the effective date but prior to the maturity date. No amount that has been repaid may be reborrowed.</w:t>
      </w:r>
    </w:p>
    <w:p>
      <w:pPr>
        <w:spacing w:after="0" w:line="9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The Amended Loan and Security Agreement requires the Company to cash collateralize half of the sum of the then-outstanding principal amount of the SVB Facility, plus an amount equal to 5.75% of the original principal amount of the SVB Facility if the Company does not achieve the Amended Milestones on or prior to August 31, 2022. In the event a cash collateralization were to occur, so long as no event of default has occurred, $2.5 million will be released from the collateral account following the eighth scheduled payment of principal and interest, and a further $4.0 million will be released following the tenth scheduled payment of principal and interest on the SVB Facility, in each case, so long as (i) after subtracting such scheduled payment, the sum of (a) the aggregate outstanding principal, (b) accrued and unpaid interest and (c) the Final Payment is less than $9,770,933 and $5,604,167, respectively and (ii) the balance in the collateral account after the release would equal or exceed $10.0 million and $6.0 million, respectively. The SVB Facility and related obligations under the Amended Loan and Security Agreement are secured by substantially all of the Company’s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91"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connection with its entry into the Loan and Security Agreement, the Company issued to SVB warrants to purchase (i) up to 432,844 shares of the Company’s common stock, in the aggregate, and (ii) up to an additional 432,842 shares of common stock, in the aggregate, in the event the Company achieves certain clinical milestones, in each case at an exercise price per share of $2.22.</w:t>
      </w:r>
    </w:p>
    <w:p>
      <w:pPr>
        <w:spacing w:after="0" w:line="8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connection with its entry into the Amendment, the Company amended and restated the warrants issued to SVB. As amended and restated, the warrants are for up to 649,615 shares of the Company's common stock, in the aggregate, at an exercise price per share of $1.16, or the SVB Warrants. The SVB Warrants expire on August 6, 2031.</w:t>
      </w:r>
    </w:p>
    <w:p>
      <w:pPr>
        <w:spacing w:after="0" w:line="9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Amended Loan and Security Agreement, were approximately $1.2 million and primarily related to the SVB warrants, which will be amortized into interest expense over the period to August 1, 2023. Interest expense was $0.7 million for the three months ended March 31, 2022.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March 31, 2022 approximates its face value due to proximity to the transaction.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40" w:lineRule="exact"/>
        <w:rPr>
          <w:sz w:val="20"/>
          <w:szCs w:val="20"/>
          <w:color w:val="auto"/>
        </w:rPr>
      </w:pPr>
    </w:p>
    <w:p>
      <w:pPr>
        <w:ind w:left="1260" w:hanging="50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260" w:right="180" w:hanging="503"/>
        <w:spacing w:after="0" w:line="258"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1" w:lineRule="exact"/>
        <w:rPr>
          <w:rFonts w:ascii="Times New Roman" w:cs="Times New Roman" w:eastAsia="Times New Roman" w:hAnsi="Times New Roman"/>
          <w:sz w:val="18"/>
          <w:szCs w:val="18"/>
          <w:color w:val="auto"/>
        </w:rPr>
      </w:pPr>
    </w:p>
    <w:p>
      <w:pPr>
        <w:ind w:left="1260" w:right="300" w:hanging="503"/>
        <w:spacing w:after="0" w:line="266"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and nonrecurring basis as of March 31,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12"/>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5"/>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cash equivalents represent demand deposit accounts and deposits in a short-term United States treasury money market mutual fund quoted in an active market and classified as a Level 1 asset.</w:t>
      </w:r>
    </w:p>
    <w:p>
      <w:pPr>
        <w:spacing w:after="0" w:line="17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08"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shares of common stock outstanding for the period. The Company’s potentially dilutive shares, which include outstanding common stock options, inducement stock options, unvested restricted stock and warrants, have not been included in the computation of diluted net loss per share for any of the periods presented as the result would be anti-dilutive. Such potentially dilutive shares of common stock consisted of the following as of March 31, 2022 and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10,969,654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10,738,378</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stock options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463,333</w:t>
            </w:r>
          </w:p>
        </w:tc>
        <w:tc>
          <w:tcPr>
            <w:tcW w:w="6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993,879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1,074,606</w:t>
            </w:r>
          </w:p>
        </w:tc>
        <w:tc>
          <w:tcPr>
            <w:tcW w:w="6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22,272,727</w:t>
            </w:r>
          </w:p>
        </w:tc>
        <w:tc>
          <w:tcPr>
            <w:tcW w:w="6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34,885,875</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34,549,044</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Vineti Inc.</w:t>
      </w:r>
    </w:p>
    <w:p>
      <w:pPr>
        <w:spacing w:after="0" w:line="10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On July 9, 2020, the Company entered into a master service agreement and statement of work with Vineti, Inc., ("Vineti"). Pursuant to the agreements, Vineti has been developing a software platform to coordinate and orchestrate the order, cell collection and manufacturing process for the Company’s T-cell therapy, or TCR-T, clinical programs. Heidi Hagen, who became a director of the Company in June 2019 and resigned November 2, 2021 and the Company's Interim Chief Executive Officer on February 25, 2021 and resigned on August 30, 2021, is a co-founder and former officer, of Vineti. During the three months ended March 31, 2022, the Company recorded no expenses for Vineti, compared to $0.2 million of expenses for the three months ended March 31,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WaterMill Settlement Agreement</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4, 2021, the Company entered into an agreement, or the Settlement Agreement, with WaterMill Asset Management Corp. and Robert W. Postma (collectively, the "WaterMill Parties"). Pursuant to the Settlement Agreement, the Company increased the size of its board of directors from eight to nine directors and appointed Mr. Postma to fill the newly created directorship.</w:t>
      </w:r>
    </w:p>
    <w:p>
      <w:pPr>
        <w:spacing w:after="0" w:line="6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accordance with the Settlement Agreement, the Company agreed to reimburse the WaterMill Parties for up to $0.4 million of their reasonable out-of-pocket expenses out of a total of approximately $0.7 million in fees and expenses actually incurred by the WaterMill Parties in connection with (i) the WaterMill Parties' solicitation of written consents from the Company's stockholders to vote in favor of certain proposals, as set forth in the definitive consent statement filed by the WaterMill Parties on October 30, 2020, and (ii) the negotiation, execution, and effectuation of the Settlement Agreement. As of February 19, 2021, the Company has fully reimbursed the WaterMill Parties an aggregate amount of $0.4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TriArm Therapeutics/Eden BioCell</w:t>
      </w:r>
    </w:p>
    <w:p>
      <w:pPr>
        <w:spacing w:after="0" w:line="10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 xml:space="preserve">On December 18, 2018, the Company and TriArm Therapeutics, Ltd. (“TriArm”) launched Eden BioCell, Ltd. (“Eden BioCell”) as a joint venture to lead commercialization of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-generated CAR-T therapies in the People’s Republic of China (including Macau and Hong Kong), Taiwan and Korea. The Company licensed to Eden BioCell the rights in Greater China for its third-generation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Eden BioCell is owned equally by the Company and TriArm and the parties share decision-making authority. TriArm has contributed $10.0 million to Eden BioCell and has committed up to an additional $25.0 million to this joint venture. TriArm also manages all clinical development in the territory pursuant to a Master Services Agreement between TriArm and Eden BioCell. James Huang was the founder and serves as managing partner of Panacea Venture, which is an investor in TriArm. Mr. Huang is the Chair of the Company's board of directors and has been a director since July 2020. He also serves as a member of Eden BioCell’s board of directors.</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2022, Eden BioCell incurred a net loss and the Company continues to have no commitment to fund its operations. In September 2021, TriArm and Alaunos mutually agreed to dissolve the Eden BioCell joint venture. Refer to Note 11 -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15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PGEN Therapeutics</w:t>
      </w:r>
    </w:p>
    <w:p>
      <w:pPr>
        <w:spacing w:after="0" w:line="106"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18"/>
          <w:szCs w:val="18"/>
          <w:color w:val="auto"/>
        </w:rPr>
        <w:t xml:space="preserve">On October 5, 2018, the Company entered into an exclusive license agreement, or License Agreement, with PGEN Therapeutics, or PGEN, a wholly owned subsidiary of Precigen Inc., or Precigen, which was formerly known as Intrexon Corporation. Pursuant to the terms of the License Agreement, the Company has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Ares Trading Agreement. Under the License Agreement, the Company also has exclusive, worldwide rights for certain patents relating to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research, develop and commercialize TCR products for both neoantigens and shared antigens for the treatment of cancer, referred to as TCR Products.</w:t>
      </w:r>
    </w:p>
    <w:p>
      <w:pPr>
        <w:spacing w:after="0" w:line="92" w:lineRule="exact"/>
        <w:rPr>
          <w:sz w:val="20"/>
          <w:szCs w:val="20"/>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The Company is solely responsible for all aspects of the research, development and commercialization of the exclusively licensed products for the treatment of cancer. The Company is required to use commercially reasonable efforts, as defined in the License Agreement, to develop and commercialize IL-12 products, CD19 products, BCMA products and TCR Products.</w:t>
      </w:r>
    </w:p>
    <w:p>
      <w:pPr>
        <w:spacing w:after="0" w:line="82" w:lineRule="exact"/>
        <w:rPr>
          <w:sz w:val="20"/>
          <w:szCs w:val="20"/>
          <w:color w:val="auto"/>
        </w:rPr>
      </w:pPr>
    </w:p>
    <w:p>
      <w:pPr>
        <w:ind w:right="800"/>
        <w:spacing w:after="0" w:line="250"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PGEN, the Company will pay PGEN an annual license fee of $0.1 million and the Company has agreed to reimburse PGEN for certain historical costs of the licensed programs up to $1.0 million, which was fully paid during the year ended December 31, 2019.</w:t>
      </w:r>
    </w:p>
    <w:p>
      <w:pPr>
        <w:spacing w:after="0" w:line="82"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18"/>
          <w:szCs w:val="18"/>
          <w:color w:val="auto"/>
        </w:rPr>
        <w:t>The Company will make milestone payments totaling up to an additional $52.5 million for each exclusively licensed program upon the initiation of later stage clinical trials and upon the approval of exclusively licensed products in various jurisdictions. In addition, the Company will pay PGEN tiered royalties ranging from low-single digit to high-single digit on the net sales derived from the sales of any approved IL-12 products and CAR products. The Company will also pay PGEN royalties ranging from low-single digit to mid-single digit on the net sales derived from the sales of any approved TCR products, up to a maximum royalty amount of $100.0 million in the aggregate. The Company will also pay PGEN twenty percent of any sublicensing</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income received by us relating to the licensed products. The Company is responsible for all development costs associated with each of the licensed products.</w:t>
      </w:r>
    </w:p>
    <w:p>
      <w:pPr>
        <w:spacing w:after="0" w:line="54" w:lineRule="exact"/>
        <w:rPr>
          <w:sz w:val="20"/>
          <w:szCs w:val="20"/>
          <w:color w:val="auto"/>
        </w:rPr>
      </w:pPr>
    </w:p>
    <w:p>
      <w:pPr>
        <w:ind w:right="820"/>
        <w:spacing w:after="0" w:line="250" w:lineRule="auto"/>
        <w:rPr>
          <w:sz w:val="20"/>
          <w:szCs w:val="20"/>
          <w:color w:val="auto"/>
        </w:rPr>
      </w:pPr>
      <w:r>
        <w:rPr>
          <w:rFonts w:ascii="Times New Roman" w:cs="Times New Roman" w:eastAsia="Times New Roman" w:hAnsi="Times New Roman"/>
          <w:sz w:val="18"/>
          <w:szCs w:val="18"/>
          <w:color w:val="auto"/>
        </w:rPr>
        <w:t>PGEN will pay the Company royalties ranging from low-single digits to mid-single digits on the net sales derived from the sale of PGEN’s CAR products, up to a maximum royalty amount of $100.0 million.</w:t>
      </w:r>
    </w:p>
    <w:p>
      <w:pPr>
        <w:spacing w:after="0" w:line="68" w:lineRule="exact"/>
        <w:rPr>
          <w:sz w:val="20"/>
          <w:szCs w:val="20"/>
          <w:color w:val="auto"/>
        </w:rPr>
      </w:pPr>
    </w:p>
    <w:p>
      <w:pPr>
        <w:ind w:right="1080"/>
        <w:spacing w:after="0" w:line="266" w:lineRule="auto"/>
        <w:rPr>
          <w:sz w:val="20"/>
          <w:szCs w:val="20"/>
          <w:color w:val="auto"/>
        </w:rPr>
      </w:pPr>
      <w:r>
        <w:rPr>
          <w:rFonts w:ascii="Times New Roman" w:cs="Times New Roman" w:eastAsia="Times New Roman" w:hAnsi="Times New Roman"/>
          <w:sz w:val="18"/>
          <w:szCs w:val="18"/>
          <w:color w:val="auto"/>
        </w:rPr>
        <w:t>In October 2020, the Company entered into an amendment to the License Agreement relating to the transfer of certain materials and PGEN’s obligations to provide transition assistance relating to the IL-12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 —The University of Texas MD Anderson Cancer Center</w:t>
      </w:r>
    </w:p>
    <w:p>
      <w:pPr>
        <w:spacing w:after="0" w:line="10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On January 13, 2015, the Company, together with Precigen, entered into the MD Anderson License with MD Anderson (which Precigen subsequently assigned to PGEN). Pursuant to the MD Anderson License, the Company, together with PGEN,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who served as the Company’s Chief Executive Officer from May 2015 until February 2021 and was formerly a tenured professor of pediatrics at MD Anderson.</w:t>
      </w:r>
    </w:p>
    <w:p>
      <w:pPr>
        <w:spacing w:after="0" w:line="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6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R&amp;D Agreement.</w:t>
      </w:r>
    </w:p>
    <w:p>
      <w:pPr>
        <w:spacing w:after="0" w:line="7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PGEN, and MD Anderson.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October 22, 2019, the Company entered into the 2019 Research and Development Agreement, or the 2019 R&amp;D Agreement, with MD Anderson, pursuant to which the parties agreed to collaborate with respect to the TCR program. Under the 2019 R&amp;D Agreement, the parties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86"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 xml:space="preserve">The Company will own all inventions and intellectual property developed under the 2019 R&amp;D Agreement and the Company will retain all rights to intellectual property for oncology products manufactured using non-viral gene transfer technologies under the 2019 R&amp;D Agreement, including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Company has granted MD Anderson an exclusive license for such intellectual property outside the field of oncology and to develop and commercialize TCR products manufactured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using viral gene transfer technologies limited to autologous products if used for cancer treatment or prevention, and a non-exclusive license for allogenic anti-tumor TCR products manufactured using viral-based technologies.</w:t>
      </w:r>
    </w:p>
    <w:p>
      <w:pPr>
        <w:spacing w:after="0" w:line="6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at rates in the low single digits.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the three months ended March 31, 2022, the Company incurred expenses of $0.4 million related to this agreement compared to $0 for the three months ended March 31, 2021.</w:t>
      </w:r>
    </w:p>
    <w:p>
      <w:pPr>
        <w:spacing w:after="0" w:line="79"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4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connection with the execution of the 2019 R&amp;D Agreement, on October 22, 2019, the Company issued MD Anderson a warrant to purchase 3,333,333 shares of the Company's common stock, which is referred to as the MD Anderson Warrant. Please refer to Note 10 - Warrants, for further discussion of the MD Anderson Warrant. The MD Anderson Warrant has an initial exercise price of $0.001 per share, expires on December 31, 2026, and vests upon the occurrence of certain clinical milestones. As of December 31, 2021, none of the milestones have been met.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 xml:space="preserve">On May 28, 2019, the Company entered into a patent license agreement, or the Patent License, with the National Cancer Institute, or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KRAS, TP53 and EGFR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the Company amended the Patent License to expand its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7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terms of the Patent License require the Company to pay the NCI minimum annual royalties in the amount of $0.3 million, which amount will be reduced to $0.1 million once the aggregate minimum annual royalties paid by the Company equals $1.5 million.</w:t>
      </w:r>
    </w:p>
    <w:p>
      <w:pPr>
        <w:spacing w:after="0" w:line="6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will be due upon the initiation of the Company's first sponsored Phase 1 clinical trial of a licensed product or licensed process in the field of use licensed under the Patent License.</w:t>
      </w:r>
    </w:p>
    <w:p>
      <w:pPr>
        <w:spacing w:after="0" w:line="7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 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 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reasonably satisfying required health and safety needs and (ii) terminate or modify the Patent License, including if the Company is not satisfying requirements for public use as specified by federal regulations.</w:t>
      </w:r>
    </w:p>
    <w:p>
      <w:pPr>
        <w:spacing w:after="0" w:line="68"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March 31, 2021, the Company recognized $0.3 million in license payments to the NCI under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 with the NCI</w:t>
      </w:r>
    </w:p>
    <w:p>
      <w:pPr>
        <w:spacing w:after="0" w:line="11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 xml:space="preserve">On January 9, 2017, the Company entered into a Cooperative Research and Development Agreement (the “CRADA”) with the NCI. The purpose of this collaboration was to advance a personalized TCR-T approach for the treatment of solid tumors. Using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NCI would analyze a patient’s own cancer cells, identify their unique neoantigens and TCRs reactive against those neoantigens and then use the Company's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transpose one or more TCRs into T cells for re-infusion. Research conducted under the CRADA will be at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Steven A. Rosenberg, M.D., Ph.D., Chief of the Surgery Branch at the NCI, in collaboration with the Company's researchers.</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is responsible for providing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the Company will have the first opportunity to file a patent covering the invention. If the Company fails to provide timely notice of its decision to NCI or decide not to file a patent covering the joint invention, NCI has the right to make the filing. For any invention solely owned by NCI or jointly made by NCI and the Company for which a patent application was filed, the U.S. Public Health service grants the Company an exclusive option to elect an exclusive or non-exclusive commercialization license. For inventions owned solely by NCI or jointly owned by NCI and the Company, which are licensed according to the terms described above, the Company agreed to grant to the U.S. government a non-exclusive, non-transferable, irrevocable and paid up license to practice the invention or have the invention practiced on its behalf throughout the world. The Company is also required to grant the U.S. government a non-exclusive, non-transferable, irrevocable and paid up license to practice the invention or have the invention practiced on its behalf throughout the world for any of the Company's solely owned inventions. The agreement may be terminated by any of the parties upon 60 days prior written consent.</w:t>
      </w:r>
    </w:p>
    <w:p>
      <w:pPr>
        <w:spacing w:after="0" w:line="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NCI has a cleared Investigational New Drug Application, or IND, that would permit them to begin this trial. To the Company's knowledge, the trial has not yet enrolled due to matters internal to the NCI and unrelated to the Company's technology. The progress and timeline for this trial, including the timeline for dosing patients, are under control of the NCI.</w:t>
      </w:r>
    </w:p>
    <w:p>
      <w:pPr>
        <w:spacing w:after="0" w:line="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February 2019, the Company extended the CRADA with the NCI until January 9, 2022, committing an additional $5.0 million to this program. In March 2022, the Company entered into an amendment to the CRADA that is retroactive, effective January 9, 2022 to extend the term of the CRADA until January 9, 2023. The Company did not record expenses under the CRADA for the three months ended March 31, 2022, as compared to $0.6 million for the three months ended March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Technology License Agreement—The University of Texas MD Anderson Cancer Center and the Texas A&amp;M University System</w:t>
      </w:r>
    </w:p>
    <w:p>
      <w:pPr>
        <w:spacing w:after="0" w:line="10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6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Under the terms of the agreement, the Company may be required to make additional payments to the Licensors upon achievement of certain other milestones in varying amounts which, on a cumulative basis could total up to an additional $4.5 million. In addition, the Licensors are entitled to receive single digit percentage royalty payments on sales from a licensed product and will also be entitled to receive a portion of any fees that the Company may receive from a possible sublicense under certain circumstances. During the three months ended March 31, 2022 and March 31, 2021, no amounts were expensed or paid under the terms of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Solasia Pharma K.K.</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7, 2011, the Company entered into a License and Collaboration Agreement with Solasia Pharma K. K. ("Solasia"), which was amended on July 31, 2014 to include an exclusive worldwide license. Pursuant to the License and Collaboration Agreement, the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Company granted Solasia an exclusive license to develop and commercialize darinaparsin in both intravenous and oral forms and related organic arsenic molecules, in all indications for human use.</w:t>
      </w:r>
    </w:p>
    <w:p>
      <w:pPr>
        <w:spacing w:after="0" w:line="6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agreement, will receive a portion of all milestone and royalty payments made by Solasia to the Company in accordance with the terms of the license agreement with the Licensors. During the three months ended March 31, 2022 and March 31, 2021, the Company did not record collaboration revenue under the collaboration agreement with Solasia.</w:t>
      </w:r>
    </w:p>
    <w:p>
      <w:pPr>
        <w:spacing w:after="0" w:line="17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on all employee and non-employee awards as follows:</w:t>
      </w:r>
    </w:p>
    <w:p>
      <w:pPr>
        <w:spacing w:after="0" w:line="205"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 granted an aggregate of 2,690,000 stock options during the three months ended March 31, 2022, with a weighted-average grant date fair value of $0.47 per share. The Company granted an aggregate of 4,314,438 stock options during the three months ended March 31, 2021, with a weighted-average grant date fair value of $2.43 per share.</w:t>
      </w:r>
    </w:p>
    <w:p>
      <w:pPr>
        <w:spacing w:after="0" w:line="8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fair value of stock options was estimated on the date of grant using a Black-Scholes option valuation model with the following assumptions:</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3720" w:type="dxa"/>
            <w:vAlign w:val="bottom"/>
          </w:tcPr>
          <w:p>
            <w:pPr>
              <w:spacing w:after="0"/>
              <w:rPr>
                <w:sz w:val="14"/>
                <w:szCs w:val="14"/>
                <w:color w:val="auto"/>
              </w:rPr>
            </w:pPr>
          </w:p>
        </w:tc>
        <w:tc>
          <w:tcPr>
            <w:tcW w:w="14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 – 2.43%</w:t>
            </w: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 – 1.05%</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5.50 - 6.25</w:t>
            </w: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74.49 - 76.27%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72.92 - 74.20%</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stock option plans for the three months ended March 31, 2022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5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4"/>
                <w:szCs w:val="14"/>
                <w:color w:val="auto"/>
              </w:rPr>
            </w:pPr>
          </w:p>
        </w:tc>
      </w:tr>
      <w:tr>
        <w:trPr>
          <w:trHeight w:val="18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60" w:type="dxa"/>
            <w:vAlign w:val="bottom"/>
          </w:tcPr>
          <w:p>
            <w:pPr>
              <w:spacing w:after="0"/>
              <w:rPr>
                <w:sz w:val="16"/>
                <w:szCs w:val="16"/>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10,665,869</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(2,386,216 )</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0"/>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10,969,653</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FF0FC"/>
            </w:tcBorders>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March 31, 2022</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3,394,055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1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ind w:left="9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96"/>
        </w:trPr>
        <w:tc>
          <w:tcPr>
            <w:tcW w:w="5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December 31, 2021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4,410,312</w:t>
            </w:r>
          </w:p>
        </w:tc>
        <w:tc>
          <w:tcPr>
            <w:tcW w:w="24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9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available for future grant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15,242,103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-659765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-659765</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-350520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-334010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-350520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-334010</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-350520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-334010</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-350520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-334010</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costs related to unvested stock options outstanding amounted to $7.5 million. The cost is expected to be recognized over a weighted-average period of 2.08 years.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unvested restricted stock for the three months ended March 31, 2022 is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0" w:type="dxa"/>
            <w:vAlign w:val="bottom"/>
          </w:tcPr>
          <w:p>
            <w:pPr>
              <w:spacing w:after="0"/>
              <w:rPr>
                <w:sz w:val="13"/>
                <w:szCs w:val="13"/>
                <w:color w:val="auto"/>
              </w:rPr>
            </w:pPr>
          </w:p>
        </w:tc>
      </w:tr>
      <w:tr>
        <w:trPr>
          <w:trHeight w:val="148"/>
        </w:trPr>
        <w:tc>
          <w:tcPr>
            <w:tcW w:w="4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60" w:type="dxa"/>
            <w:vAlign w:val="bottom"/>
          </w:tcPr>
          <w:p>
            <w:pPr>
              <w:spacing w:after="0"/>
              <w:rPr>
                <w:sz w:val="12"/>
                <w:szCs w:val="12"/>
                <w:color w:val="auto"/>
              </w:rPr>
            </w:pPr>
          </w:p>
        </w:tc>
      </w:tr>
      <w:tr>
        <w:trPr>
          <w:trHeight w:val="200"/>
        </w:trPr>
        <w:tc>
          <w:tcPr>
            <w:tcW w:w="4980" w:type="dxa"/>
            <w:vAlign w:val="bottom"/>
          </w:tcPr>
          <w:p>
            <w:pPr>
              <w:spacing w:after="0"/>
              <w:rPr>
                <w:sz w:val="17"/>
                <w:szCs w:val="17"/>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11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7"/>
                <w:szCs w:val="17"/>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1,198,580</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(27,819 )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(176,882 )</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shd w:val="clear" w:color="auto" w:fill="CFF0FC"/>
          </w:tcPr>
          <w:p>
            <w:pPr>
              <w:spacing w:after="0"/>
              <w:rPr>
                <w:sz w:val="18"/>
                <w:szCs w:val="18"/>
                <w:color w:val="auto"/>
              </w:rPr>
            </w:pPr>
          </w:p>
        </w:tc>
      </w:tr>
      <w:tr>
        <w:trPr>
          <w:trHeight w:val="210"/>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March 31, 2022</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993,879</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top w:val="single" w:sz="8" w:color="CFF0FC"/>
            </w:tcBorders>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342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March 31, 2022, total unrecognized compensation costs related to unvested restricted stock outstanding amounted to $1.5 million. The cost is expected to be recognized over a weighted-average period of 2.15 years.</w:t>
      </w:r>
    </w:p>
    <w:p>
      <w:pPr>
        <w:spacing w:after="0" w:line="144"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0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In connection with the Company’s November 2018 private placement which provided net proceeds of approximately $47.1 million, the Company issued warrants to purchase an aggregate of 18,939,394 shares of common stock which became exercisable six months after the closing of the private placement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87"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8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issued participating investors new warrants to purchase up to 17,803,031 additional shares of common stock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6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On October 22, 2019, the Company entered into the 2019 R&amp;D Agreement with MD Anderson. In connection with the execution of the 2019 R&amp;D Agreement, the Company issued the MD Anderson Warrant to purchase 3,333,333 shares of common stock. The MD 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three months ended March 31, 2022 and March 31, 2021, the Company did not recognize any expense related to the MD Anderson Warrant as no clinical milestones had been achieved.</w:t>
      </w:r>
    </w:p>
    <w:p>
      <w:pPr>
        <w:spacing w:after="0" w:line="7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On August 6, 2021, the Company entered into the Loan and Security Agreement with SVB.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Loan and Security Agreement, the Company issued SVB warrants to purchase 432,844 shares of common stock with an exercise price of $2.22 per share. The warrants have a ten-year life and are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Amendment, as described in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which, the original warrants issued to SVB were amended and restated. As amended and restated, the warrants are for up to 649,615 shares of common stock, in the aggregate, at an exercise price per share of $1.16. The amended and restated warrants expire on August 6, 2031 and were fully vested upon issuance. Using a Black-Scholes model with an expected volatility of 81%, risk free interest rate of 1.49%, expected life of 10 years and no dividends, the Company recorded a $0.2 million increase in the fair value of the warrants due to the modification of the warrants.</w:t>
      </w:r>
    </w:p>
    <w:p>
      <w:pPr>
        <w:spacing w:after="0" w:line="9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 xml:space="preserve">The Company assessed whether the warrants require accounting as derivatives. The Company determined that the warrants were (1) indexed to the Company’s own stock and (2) classified in stockholders’ equity in accordance with FASB Accounting Standards Codification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the Company has concluded the warrants meet the scope exception for determining whether the instruments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as derivatives and should be classified in stockholders’ equity.</w:t>
      </w:r>
    </w:p>
    <w:p>
      <w:pPr>
        <w:spacing w:after="0" w:line="173"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On December 18, 2018, the Company entered into a Framework Agreement with TriArm whereby the parties will launch Eden BioCell, to lead clinical development and commercialization of certain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as set forth in a separate license agreement.</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ind w:left="45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6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determined that Eden BioCell was considered a variable interest entity, or VIE, and concluded that it is not the primary beneficiary of the VIE as it did not have the power to direct the activities of the VIE. As a result, the Company accounts for the equity interest in Eden BioCell under the equity method of accounting as it has the ability to exercise significant influence.</w:t>
      </w:r>
    </w:p>
    <w:p>
      <w:pPr>
        <w:spacing w:after="0" w:line="6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March 2021, Eden BioCell began treating patients in a clinical trial with the Company’s investigational CD19 RPM CAR-T cell therapy, under the IND cleared by the Taiwan FDA in December 2020. In the first half of 2021, two patients were treated in this trial. The lead investigator at National Taiwan University in Taipei, has reported no serious adverse safety events in either of these patients. Laboratory results continue to support, as previously published, that non-viral Sleeping Beauty gene transfer is effective in genetically modifying autologous T-cells. Patients were infused two days after gene transfer, thus shortening the turnaround time and demonstrating an advantage over viral methods.</w:t>
      </w:r>
    </w:p>
    <w:p>
      <w:pPr>
        <w:spacing w:after="0" w:line="6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Based on laboratory data from the first two patients generated between March and May 2021, the TriArm/Eden team concluded, in concert with the investigator and the Company, that further process development work is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2021, TriArm and the Company mutually agreed to dissolve the joint venture.</w:t>
      </w:r>
    </w:p>
    <w:p>
      <w:pPr>
        <w:spacing w:after="0" w:line="10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Eden BioCell incurred a net loss. The Company continues to have no commitment to fund its operations.</w:t>
      </w:r>
    </w:p>
    <w:p>
      <w:pPr>
        <w:spacing w:after="0" w:line="18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the balance sheet date through the date on which these financial statements were issued. The Company did not have any material subsequent events that impacted its financial statements or disclosures.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our unaudited condensed financial statements and the notes thereto included in this Quarterly Report on Form 10-Q and the audited financial information and the notes thereto included in our Annual Report on Form 10-K, which was filed with the Securities and Exchange Commission, or the SEC, on March 30, 2022, or the Annual Report.</w:t>
      </w:r>
    </w:p>
    <w:p>
      <w:pPr>
        <w:spacing w:after="0" w:line="8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the matters discussed in this Quarterly Report on Form 10-Q may be deemed to be forward-looking statements that involve risks and uncertainties.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p>
    <w:p>
      <w:pPr>
        <w:spacing w:after="0" w:line="69"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 xml:space="preserve">We are a clinical-stage oncology-focused cell therapy company developing adoptive TCR-T cell therapy, designed to treat multiple solid tumor types in large cancer patient populations with unmet clinical needs. We are leveraging our cancer hotspot mutation TCR library and our proprietary, non-viral </w:t>
      </w:r>
      <w:r>
        <w:rPr>
          <w:rFonts w:ascii="Times New Roman" w:cs="Times New Roman" w:eastAsia="Times New Roman" w:hAnsi="Times New Roman"/>
          <w:sz w:val="17"/>
          <w:szCs w:val="17"/>
          <w:i w:val="1"/>
          <w:iCs w:val="1"/>
          <w:color w:val="auto"/>
        </w:rPr>
        <w:t xml:space="preserve">Sleeping Beauty </w:t>
      </w:r>
      <w:r>
        <w:rPr>
          <w:rFonts w:ascii="Times New Roman" w:cs="Times New Roman" w:eastAsia="Times New Roman" w:hAnsi="Times New Roman"/>
          <w:sz w:val="17"/>
          <w:szCs w:val="17"/>
          <w:color w:val="auto"/>
        </w:rPr>
        <w:t>gene transfer platform to design and manufacture patient-specific cell therapies that target neoantigens arising from shared tumor-specific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mutations in key oncogenic genes, including </w:t>
      </w:r>
      <w:r>
        <w:rPr>
          <w:rFonts w:ascii="Times New Roman" w:cs="Times New Roman" w:eastAsia="Times New Roman" w:hAnsi="Times New Roman"/>
          <w:sz w:val="17"/>
          <w:szCs w:val="17"/>
          <w:i w:val="1"/>
          <w:iCs w:val="1"/>
          <w:color w:val="auto"/>
        </w:rPr>
        <w:t>KRAS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r>
        <w:rPr>
          <w:rFonts w:ascii="Times New Roman" w:cs="Times New Roman" w:eastAsia="Times New Roman" w:hAnsi="Times New Roman"/>
          <w:sz w:val="17"/>
          <w:szCs w:val="17"/>
          <w:color w:val="auto"/>
        </w:rPr>
        <w:t xml:space="preserve">. In collaboration with the MD Anderson Cancer Center, or MD Anderson, we are currently enrolling patients for a Phase 1/2 clinical trial evaluating ten TCRs reactive to mutated </w:t>
      </w:r>
      <w:r>
        <w:rPr>
          <w:rFonts w:ascii="Times New Roman" w:cs="Times New Roman" w:eastAsia="Times New Roman" w:hAnsi="Times New Roman"/>
          <w:sz w:val="17"/>
          <w:szCs w:val="17"/>
          <w:i w:val="1"/>
          <w:iCs w:val="1"/>
          <w:color w:val="auto"/>
        </w:rPr>
        <w:t>KRAS, 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r>
        <w:rPr>
          <w:rFonts w:ascii="Times New Roman" w:cs="Times New Roman" w:eastAsia="Times New Roman" w:hAnsi="Times New Roman"/>
          <w:sz w:val="17"/>
          <w:szCs w:val="17"/>
          <w:color w:val="auto"/>
        </w:rPr>
        <w:t xml:space="preserve"> from our TCR library for the investigational treatment of non-small cell lung, colorectal, endometrial, pancreatic, ovarian, and bile duct, which we refer to as our TCR-T Library Phase 1/2 Trial. On May 2, 2022, we announced that we treated our first patient in this trial; we anticipate reporting interim data in the second half of 2022.</w:t>
      </w:r>
    </w:p>
    <w:p>
      <w:pPr>
        <w:spacing w:after="0" w:line="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significant net losses in each year since our inception. For the three months ended March 31, 2022, we had a net loss of $9.8 million, and as of March 31, 2022, we have incurred approximately $852.6 million of accumulated deficit since our inception in 2003. We expect to continue to incur significant operating expenditures and net losses. Further development of our product candidates will likely require substantial increases in our expenses as we:</w:t>
      </w:r>
    </w:p>
    <w:p>
      <w:pPr>
        <w:spacing w:after="0" w:line="83"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undertake clinical trials for product candidates;</w:t>
      </w:r>
    </w:p>
    <w:p>
      <w:pPr>
        <w:spacing w:after="0" w:line="10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the formulation and manufacturing of our product candidates.</w:t>
      </w:r>
    </w:p>
    <w:p>
      <w:pPr>
        <w:spacing w:after="0" w:line="1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continue to seek additional financial resources to fund the further development of our product candidates. If we are unable to obtain sufficient additional capital, one or more of these programs could be delayed, and we may be unable to continue our operations at planned levels and be forced to reduce our operations. Because of the numerous risks and uncertainties associated with product development, we are unable to predict the timing or amount of increased expenses or when or if we will be able to achieve or maintain profitability.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5"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On September 27, 2021, we announced a restructuring designed to enable us to focus on and advance our TCR program. As a result of the restructuring, approximately 60 positions were eliminated, and we were able to extend our anticipated cash runway. Given our current development plans and cash management efforts, we anticipate cash resources will be sufficient to fund operations into the second quarter of 2023.</w:t>
      </w:r>
    </w:p>
    <w:p>
      <w:pPr>
        <w:spacing w:after="0" w:line="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ongoing COVID-19 global pandemic has presented a significant health and economic challenge around the world and may affect our employees, partners and business operations. The full extent to which the COVID-19 pandemic will directly or indirectly impact our business, results of operations and financial condition will depend on future developments that are highly uncertain and cannot be accurately predicted. Supply chain disruptions caused by the pandemic may negatively impact productivity, disrupt our business and delay our clinical programs and timelines. The severity of negative impacts will depend, in part, on the length and magnitude of the disruptions. These and perhaps more severe disruptions in our operations could negatively impact our business, operating results and financial condition. We continue to work with our partners to mitigate the impact the COVID-19 pandemic is having on our business.</w:t>
      </w:r>
    </w:p>
    <w:p>
      <w:pPr>
        <w:spacing w:after="0" w:line="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2, 2022, we announced dosing of the first patient in our TCR-T Library Phase 1/2 trial being conducted at MD Anderson. The TCR-T cell product was successfully manufactured in Alaunos’ cGMP facility in Houston, Texas. We continue to enroll patients in the trial at dose levels according to the clinical protocol. We expect to present interim data at an appropriate scientific or medical conference in the second half of 2022.</w:t>
      </w:r>
    </w:p>
    <w:p>
      <w:pPr>
        <w:spacing w:after="0" w:line="7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 xml:space="preserve">On May 16, 2022, we presented preclinical data in poster M-234 on Stem-cell memory TCR-T cells targeting hotspot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generated through co-expression of membrane-bound Interleukin-15, or mbIL-15, at the 25th Annual Meeting of the American Society of Gene and Cell Therapy. Our mbIL-15 program is designed to augment the function of TCR-T cells by co-expression of a proprietary potentially more potent mbIL-15. In this preclinical study, we observed that mbIL-15 TCR-T cells specifically targeted and killed tumors expressing matching neoantigen and HLAs with negligible off-target effects. Importantly, mbIL-15 seems to enhance the survival and persistence of TCR-T cells cultured in the absence of exogenous cytokine support. The persisting mbIL-15 TCR-T cells were observed to exhibit a preponderance of long-lived T stem-cell memory cells that were capable to giving rise to effector T cell subsets upon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restimulation. These preclinical observations suggest that our proprietary mbIL-15 technology has the potential to establish long-lived tumor-specific TCR-T cells that may have the potential to survive in circulation and in the suppressive tumor microenvironment.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expenses for personnel, costs of contract manufacturing services, costs of facilities, reagents, and equipment, fees paid to professional service providers in conjunction with our clinical trials, fees paid to contract research organizations in conjunction with clinical trials, fees paid to contract research organizations in conjunction with costs of materials used in research and development, consulting, license and milestone payments and sponsored research fees paid to third parties.</w:t>
      </w:r>
    </w:p>
    <w:p>
      <w:pPr>
        <w:spacing w:after="0" w:line="6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future research and development expenses in support of our current and future programs will be subject to numerous uncertainties in timing and cost to completion. We test potential products in numerous preclinical studies for safety, toxicology and efficacy. We may conduct multiple clinical trials for each product. As we obtain results from trials, we may elect to discontinue or delay clinical trials for certain products in order to focus our resources on more promising products or indications. Completion of clinical trials may take several years or more, and the length of time generally varies substantially according to the type, complexity, novelty and intended use of a product. It is not unusual for preclinical and clinical development of each of these types of products to require the expenditure of substantial resources.</w:t>
      </w:r>
    </w:p>
    <w:p>
      <w:pPr>
        <w:spacing w:after="0" w:line="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clinical development, including, among others, the following:</w:t>
      </w:r>
    </w:p>
    <w:p>
      <w:pPr>
        <w:spacing w:after="0" w:line="40"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cost to develop and optimize manufacturing processes;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the clinical products for patients;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to ensure the absence of long-term product-related adverse events;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w:t>
      </w:r>
    </w:p>
    <w:p>
      <w:pPr>
        <w:spacing w:after="0" w:line="10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the duration and completion costs of our programs or when and to what extent we will receive cash inflows from the commercialization and sale of a product. Our inability to complete our programs in a timely manner or our failure to enter into appropriate collaborative agreements could significantly increase our capital requirements and could adversely impact our liquidity. These uncertainties could force us to reduce or eliminate our activities in one or more of our programs or seek additional, external sources of financing from time-to-time in order to continue with our product development strategy. Our inability to raise additional capital, or to do so on terms reasonably acceptable to us, would jeopardize the future success of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6"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 or cost of product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associated with our Amended Loan and Security Agreement, as defined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Compared to Three Months Ended March 31,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three months ended March 31, 2022 and 2021 were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(7,756 )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2022 decreased by $7.8 million, or 58%, when compared to the three months ended March 31, 2021 primarily due to a decrease in program-related costs of $2.8 million as a result of the winding down of our IL-12 and CAR-T programs, a $4.7 million decrease in employee related expenses due to our reduced headcount following our restructuring in the third quarter of 2021, and a $0.3 million decrease in consulting expenses due to a decreased reliance on consultants.</w:t>
      </w:r>
    </w:p>
    <w:p>
      <w:pPr>
        <w:spacing w:after="0" w:line="6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our clinical stage projects included our TCR-T Library Phase 1/2 trial evaluating TCRs from our library for the investigational treatment of non-small cell lung, colorectal, endometrial, pancreatic, ovarian, and bile duct cancers.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during the three months ended March 31, 2022 and 2021 were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(4,722 )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2022 decreased by $4.7 million as compared to the three months ended March 31, 2021, primarily due to a $3.6 million decrease in employee related expenses due to our reduced headcount following our restructuring in the third quarter of 2021, a $0.8 million decrease in consulting and professional services expenses due to lower legal costs and a decreased use of consultants, and a $0.2 million decrease in facilities and other expenses.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during the three months ended March 31, 2022 and 2021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(683 )</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(683 )</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0" w:type="dxa"/>
            <w:vAlign w:val="bottom"/>
          </w:tcPr>
          <w:p>
            <w:pPr>
              <w:spacing w:after="0"/>
              <w:rPr>
                <w:sz w:val="18"/>
                <w:szCs w:val="18"/>
                <w:color w:val="auto"/>
              </w:rPr>
            </w:pPr>
          </w:p>
        </w:tc>
        <w:tc>
          <w:tcPr>
            <w:tcW w:w="6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(20 )</w:t>
            </w: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1974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1974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6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expense, net for the three months ended March 31, 2022 increased by $0.7 million as compared to the three months ended March 31, 2021, primarily due to $0.7 million of interest expense associated with our Amended Loan and Security Agreement, as defined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generated any revenue from product sales. Since inception, we have incurred net losses and negative cash flows from our operations.</w:t>
      </w:r>
    </w:p>
    <w:p>
      <w:pPr>
        <w:spacing w:after="0" w:line="13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equity securities, term debt and collaborations. Through March 31, 2022, we have received an aggregate of $714.1 million from issuances of equity and $25.0 million from our Amended Loan and Security Agreement, as defined below.</w:t>
      </w:r>
    </w:p>
    <w:p>
      <w:pPr>
        <w:spacing w:after="0" w:line="6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We follow the guidance of Accounting Standards Codification ("ASC") Topic 205-40, Presentation of Financial Statements - Going Concern, in order to determine whether there is substantial doubt about our ability to continue as a going concern for one year after the date our financial statements are issued. Given our current development plans and cash management efforts, we anticipate that our cash resources will be sufficient to fund operations into the second quarter of 2023.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7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August 6, 2021, we entered into a Loan and Security Agreement with Silicon Valley Bank and affiliates of Silicon Valley Bank (collectively, "SVB") (the "Loan and Security Agreement"). The Loan and Security Agreement provided for an initial term loan of $25.0 million funded at the closing ("Term A Tranche"), with an additional tranche of $25.0 million available if certain funding and clinical milestones were met by August 31, 2022 ("Term B Tranche").</w:t>
      </w:r>
    </w:p>
    <w:p>
      <w:pPr>
        <w:spacing w:after="0" w:line="6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Effective December 28, 2021, we entered into a First Amendment (the "Amendment") to the Loan and Security Agreement (as so amended, the "Amended Loan and Security Agreement").</w:t>
      </w:r>
    </w:p>
    <w:p>
      <w:pPr>
        <w:spacing w:after="0" w:line="5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Amended Loan and Security Agreement extends the interest-only period through August 31, 2022, and provides for an automatic extension through August 31, 2023, if the Amended Milestones (as defined below) are met by August 31, 2022. The Amendment eliminated the Term B Tranche, which remained unfunded, leaving only the Term A Tranche (the "SVB Facility"). Under the Amended Loan and Security Agreement, the SVB Facility will mature on August 1, 2023; however, if we achieve the Amended Milestones on or prior to August 31, 2022, then the maturity will automatically extend to August 1, 2024. As of March 31, 2022, the SVB Facility was fully drawn in the amount of $25.0 million. The SVB Facility bears interest at a floating rate per annum on the outstanding loans, payable monthly, at the greater of (a) 7.75% and (b) the current published U.S. prime rate, plus a margin of 4.5%. The Amended Loan and Security Agreement provides for an interest-only period which extends through August 31, 2022, as compared to March 31, 2022 in the Loan and Security Agreement, and may be automatically extended through August 31, 2023, if, on or prior to August 31, 2022, SVB receives evidence, satisfactory to it, confirming that we have (i) received at least $50.0 million in net cash proceeds from the sale of our equity securities after the date of the Amended Loan and Security Agreement, on terms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ind w:right="280"/>
        <w:spacing w:after="0" w:line="258" w:lineRule="auto"/>
        <w:rPr>
          <w:sz w:val="20"/>
          <w:szCs w:val="20"/>
          <w:color w:val="auto"/>
        </w:rPr>
      </w:pPr>
      <w:r>
        <w:rPr>
          <w:rFonts w:ascii="Times New Roman" w:cs="Times New Roman" w:eastAsia="Times New Roman" w:hAnsi="Times New Roman"/>
          <w:sz w:val="18"/>
          <w:szCs w:val="18"/>
          <w:color w:val="auto"/>
        </w:rPr>
        <w:t>conditions acceptable to SVB, and (ii) achieved positive data in the first cohort of the TCR-T Library Phase 1/2 Trial endorsed by an independent safety monitoring committee as a safe dose to proceed (together, the “Amended Milestones”). After the interest-only payment period, aggregate outstanding borrowings are repayable in twelve consecutive, equal monthly installments of principal plus accrued interest.</w:t>
      </w:r>
    </w:p>
    <w:p>
      <w:pPr>
        <w:spacing w:after="0" w:line="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All outstanding principal and accrued and unpaid interest under the SVB Facility and all other outstanding obligations under the Amended Loan and Security Agreement are due and payable on August 1, 2023; however, if we achieve the Amended Milestones on or prior to August 31, 2022, then the maturity will be automatically extended to August 1, 2024. In addition to the payment of the outstanding principal plus accrued interest due, we will also owe SVB 5.75% of the original principal amounts borrowed as a final payment (the "Final Payment"). We are permitted to make up to two prepayments, each payment of at least $5.0 million, subject to the prepayment premium of the SVB Facility. Such prepayment premium would be 3.00% of the principal amount of the SVB Facility if prepaid prior to the first anniversary of the effective date, 2.00% of the principal amount of the SVB Facility if prepaid on or after the first anniversary of the effective date but prior to the second anniversary of the effective date and 1.00% of the principal amount of the SVB Facility if prepaid on or after the second anniversary of the effective date but prior to maturity date. No amount that has been repaid may be reborrowed.</w:t>
      </w:r>
    </w:p>
    <w:p>
      <w:pPr>
        <w:spacing w:after="0" w:line="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Amended Loan and Security Agreement requires us to cash collateralize half of the sum of the then-outstanding principal amount of the SVB Facility, plus an amount equal to 5.75% of the original principal amount of the SVB Facility if we do not achieve the Amended Milestones on or prior to August 31, 2022. In the event a cash collateralization were to occur, so long as no event of default has occurred, $2.5 million will be released from the collateral account following the eighth scheduled payment of principal and interest, and a further $4.0 million will be released following the tenth scheduled payment of principal and interest on the SVB facility, in each case, so long as (i) after subtracting such scheduled payment, the sum of (a) the aggregate outstanding principal, (b) accrued and unpaid interest and (c) the Final Payment is less than $9,770,933 and $5,604,167, respectively and (ii) the balance in the collateral account after the release would equal or exceed $10.0 million and $6.0 million, respectively. The SVB Facility and related obligations under the Amended Loan and Security Agreement are secured by substantially all of our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9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our entry into the Loan and Security Agreement, we issued to SVB warrants to purchase (i) up to 432,844 shares of our common stock, in the aggregate, and (ii) up to an additional 432,842 shares of Common Stock, in the aggregate, in the event we achieve certain clinical milestones, in each case at an exercise price per share of $2.22. In connection with our entry into the Amendment, we amended and restated the warrants issued to SVB. As amended and restated, the warrants are for up to 649,615 shares of our common stock, in the aggregate, at an exercise price per share of $1.16, or the SVB Warrants. The SVB Warrants expire on August 6, 2031.</w:t>
      </w:r>
    </w:p>
    <w:p>
      <w:pPr>
        <w:spacing w:after="0" w:line="1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Amended Loan and Security Agreement, were approximately $1.2 million and primarily related to the SVB Warrants, which will be amortized into interest expense over the period to August 1, 2023. Interest expense was $0.7 million for the three months ended March 31,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March 31, 2022 approximates its face value due to proximity to the transaction.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decrease in cash and cash equivalents for the three months ended March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(7,770 )</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(15,313 )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6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activities is derived by adjusting our net loss for:</w:t>
      </w:r>
    </w:p>
    <w:p>
      <w:pPr>
        <w:spacing w:after="0" w:line="68"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and stock-based compensation; and</w:t>
      </w:r>
    </w:p>
    <w:p>
      <w:pPr>
        <w:spacing w:after="0" w:line="103" w:lineRule="exact"/>
        <w:rPr>
          <w:rFonts w:ascii="Times New Roman" w:cs="Times New Roman" w:eastAsia="Times New Roman" w:hAnsi="Times New Roman"/>
          <w:sz w:val="18"/>
          <w:szCs w:val="18"/>
          <w:color w:val="auto"/>
        </w:rPr>
      </w:pPr>
    </w:p>
    <w:p>
      <w:pPr>
        <w:ind w:left="1140" w:right="62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$7.8 million, as compared to net cash used in operating activities of $15.3 million for the three months ended March 31, 2021. The net cash used in operating activities for the three months ended March 31, 2022 was primarily due to our net loss of $9.8 million, adjusted for $1.7 million of non-cash items such as depreciation and stock-based compensation, and a decrease in accounts payable of $0.8 million and a $0.2 million decrease in accrued expenses, offset by a decrease in receivables of $1.1 million due to cash receipts and a decrease to prepaid expenses and other assets of $0.2 million.</w:t>
      </w:r>
    </w:p>
    <w:p>
      <w:pPr>
        <w:spacing w:after="0" w:line="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$29 thousand for the three months ended March 31, 2022, compared to $0.7 million for the three months ended March 31, 2021. The decrease of $0.7 million in net cash used in investing activities was primarily a result of the decision to use available cash to expand our internal cell therapy capabilities in our Houston, Texas facilities during the first quarter of 2021.</w:t>
      </w:r>
    </w:p>
    <w:p>
      <w:pPr>
        <w:spacing w:after="0" w:line="6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 were no financing activities for the three months ended March 31, 2022. Net cash provided by financing activities during the three months ended March 31, 2021 was $1.0 million, related primarily to proceeds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anticipate that losses will continue for the foreseeable future. As of March 31, 2022, our accumulated deficit was approximately $852.6 million. Our actual cash requirements may vary materially from those planned because of a number of factors, including:</w:t>
      </w:r>
    </w:p>
    <w:p>
      <w:pPr>
        <w:spacing w:after="0" w:line="54"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focus, direction and pace of our development programs;</w:t>
      </w:r>
    </w:p>
    <w:p>
      <w:pPr>
        <w:spacing w:after="0" w:line="1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technologies and market developments;</w:t>
      </w:r>
    </w:p>
    <w:p>
      <w:pPr>
        <w:spacing w:after="0" w:line="117" w:lineRule="exact"/>
        <w:rPr>
          <w:rFonts w:ascii="Times New Roman" w:cs="Times New Roman" w:eastAsia="Times New Roman" w:hAnsi="Times New Roman"/>
          <w:sz w:val="16"/>
          <w:szCs w:val="16"/>
          <w:color w:val="auto"/>
        </w:rPr>
      </w:pPr>
    </w:p>
    <w:p>
      <w:pPr>
        <w:ind w:left="1140" w:right="520" w:hanging="383"/>
        <w:spacing w:after="0" w:line="266" w:lineRule="auto"/>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progress, timing, costs and results of our TCR-T Library Phase 1/2 Trial for the treatment of certain solid tumors and costs associated with the development of our product candidates;</w:t>
      </w:r>
    </w:p>
    <w:p>
      <w:pPr>
        <w:spacing w:after="0" w:line="6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headcount growth focused on our TCR program and scaling our manufacturing capabilities;</w:t>
      </w:r>
    </w:p>
    <w:p>
      <w:pPr>
        <w:spacing w:after="0" w:line="10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secure partnering arrangements; and</w:t>
      </w:r>
    </w:p>
    <w:p>
      <w:pPr>
        <w:spacing w:after="0" w:line="1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filing, prosecuting, defending and enforcing any patent claims and any other intellectual property rights, or other developments.</w:t>
      </w:r>
    </w:p>
    <w:p>
      <w:pPr>
        <w:spacing w:after="0" w:line="1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March 31, 2022, we had approximately $68.3 million of cash and cash equivalents. Given our current development plans, we anticipate our cash resources will be sufficient to fund our operations into the second quarter of 2023. In order to continue our operations beyond our forecasted runway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management may need to curtail its development efforts and planned operations.</w:t>
      </w:r>
    </w:p>
    <w:p>
      <w:pPr>
        <w:spacing w:after="0" w:line="7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Working capital as of March 31, 2022 was $48.6 million, consisting of $69.8 million in current assets and $21.2 million in current liabilities. Working capital as of December 31, 2021 was $62.8 million, consisting of $78.8 million in current assets and $16.0 million in current liabilities.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Our commitments for operating leases relate to laboratory and office space in Houston, Texas and office space in Boston, Massachusetts. On December 21, 2015 and April 15, 2016, we renewed the sublease for our office space in Boston through August 31, 2021. On April 22, 2021, we extended our lease for a portion of office space currently held at our office in Boston. The renewal of the portion of our office space was originally set to expire on August 31, 2021 but was extended through August 31, 2026.</w:t>
      </w:r>
    </w:p>
    <w:p>
      <w:pPr>
        <w:spacing w:after="0" w:line="9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On March 12, 2019, we entered into a lease agreement for office space in Houston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In June and September 2020, we entered into short-term leases in Houston for additional office and laboratory space. On December 15, 2020, we entered into a second lease in Houston with MD Anderson which provided us additional office and laboratory space through April 2028.</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Royalty and License Fees</w:t>
      </w:r>
    </w:p>
    <w:p>
      <w:pPr>
        <w:spacing w:after="0" w:line="11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On May 28, 2019, we entered into a patent license agreement, or the Patent License, with the National Cancer Institute, or the NCI. The terms of the Patent License require us to pay the NCI minimum annual royalties in the amount of $0.3 million, which will be reduced to $0.1 million once the aggregate minimum annual royalties paid by us equals $1.5 million. For the three months ended March 31, 2022 and 2021, we recognized $0.3 million related to royalty payments under this agreement. As of March 31, 2022, we have paid a total of $0.8 million in minimum annual royalty payments under this agreement.</w:t>
      </w:r>
    </w:p>
    <w:p>
      <w:pPr>
        <w:spacing w:after="0" w:line="7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will be due upon the initiation of our first sponsored Phase 1 clinical trial of a licensed product or licensed process in the field of use licensed under the Patent License. In addition, we are required to pay the NCI one-time benchmark payments following aggregate net sales of licensed products at certain aggregate net sales ranging from $250.0 million to $1.0 billion. The aggregate potential amount of these benchmark payments is $12.0 million. No payments were made during the three months ended March 31, 2022 and March 31, 2021.</w:t>
      </w:r>
    </w:p>
    <w:p>
      <w:pPr>
        <w:spacing w:after="0" w:line="73"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On October 5, 2018, we entered into an exclusive license agreement, or the License Agreement, with PGEN Therapeutics, Inc., or PGEN, a wholly owned subsidiary of Precigen Inc., or Precigen. Under the License Agreement, we are obligated to pay PGEN an annual licensing fee of $0.1 million expected to be paid through the term of the agreement and we have also agreed to reimburse certain historical costs of PGEN up to $1.0 million. For the three months ended March 31, 2022 and March 31, 2021, we have made licensing fee payments in accordance with the terms of the agreement.</w:t>
      </w:r>
    </w:p>
    <w:p>
      <w:pPr>
        <w:spacing w:after="0" w:line="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Pursuant to the terms of the License Agreement, we are responsible for contingent milestone payments totaling up to an additional $52.5 million for each exclusively licensed program upon the initiation of later stage clinical trials and upon the approval of exclusively licensed products in various jurisdictions. In addition, we will pay PGEN tiered royalties ranging from low-single digit to high-single digit on the net sales derived from the sales of any approved IL-12 products and CAR products. We will also pay PGEN royalties ranging from low-single digit to mid-single digit on the net sales derived from the sales of any approved TCR products, up to a maximum royalty amount of $100.0 million in the aggregate. We will also pay PGEN twenty percent of any sublicensing income received by us relating to the licensed products. We are responsible for all development costs associated with each of the licensed products. PGEN will pay us royalties ranging from low-single digits to mid-single digits on the net sales derived from the sale of PGEN’s CAR products, up to a maximum royalty amount of $100.0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2021, our most critical accounting policies and estimates upon which our financial status depends were identified as those relating to clinical trial expenses and other research and development expenses; collaboration agreements; fair value measurements for stock-based compensation; and income taxes. We reviewed our policies and determined that those policies remain our most critical accounting policies for the three months ended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0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under the Securities Exchange Act of 1934, as amended, or the Exchange Act, we are not required to provide the information under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accounting officer, has evaluated the effectiveness of our disclosure controls and procedures (as defined in Rules 13a-15(e) or 15d-15(e) under the Exchange Act) as of March 31, 2022.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2022, our principal executive officer and principal accounting officer concluded that, as of such date, our disclosure controls and procedures were effective at the reasonable assurance level.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that occurred during the three months ended March 31, 2022 that have materially affected, or are reasonably likely to materially affect, our internal control over financial reporting.</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36" w:right="5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70"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8"/>
          <w:szCs w:val="18"/>
          <w:color w:val="auto"/>
        </w:rPr>
        <w:t>As of March 31, 2022, based on information readily available, there are no material matters that, in the opinion of management, are likely to result in a material adverse effect on our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important factors could cause our actual business and financial results to differ materially from those contained in forward-looking statements made in this Quarterly Report on Form 10-Q or elsewhere by management from time to time. The risk factors in this Quarterly Report have been revised to incorporate changes to our risk factors from those included in our Annual Report. The risk factors set forth below with an asterisk (*) before the title are new risk factors or ones containing substantive changes from the risk factors previously disclosed in Item 1A of our Annual Report, as filed with the SEC. The market price of our common stock could decline if one or more of these risks or uncertainties actually occur, causing you to lose all or part of your investment. The impact of COVID-19 may also exacerbate other risks discussed in this filing, any of which could have a material effect on us. This situation is changing rapidly and additional impacts may arise. Additional risks that we currently do not know about, or that we currently believe to be immaterial, may also impair our business. Certain statements below are forward-looking statements. See “Special Note Regarding Forward-Looking Statements” in this Quarterly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4" w:lineRule="exact"/>
        <w:rPr>
          <w:sz w:val="20"/>
          <w:szCs w:val="20"/>
          <w:color w:val="auto"/>
        </w:rPr>
      </w:pPr>
    </w:p>
    <w:p>
      <w:pPr>
        <w:jc w:val="both"/>
        <w:ind w:right="6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financial resources to continue as a going concern and to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three months ended March 31, 2022, we had a net loss of $9.8 million, and, as of March 31, 2022, our accumulated deficit since inception in 2003 was $852.6 million. We expect our operating expenditures and net losses to increase significantly in connection with our ongoing clinical trial and our internal research and development capabilities. Further development of our product candidates will require substantial increases in our expenses as we:</w:t>
      </w:r>
    </w:p>
    <w:p>
      <w:pPr>
        <w:spacing w:after="0" w:line="83"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clinical trials for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and scale-out the manufacturing of our TCR-T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highly-skilled and experienced scientific staff.</w:t>
      </w:r>
    </w:p>
    <w:p>
      <w:pPr>
        <w:spacing w:after="0" w:line="117"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 xml:space="preserve">As of March 31, 2022, we have approximately $68.3 million of cash and cash equivalents. Given our current development plans and cash management efforts, we anticipate cash resources will be sufficient to fund operations into the second quarter of 2023, and we have no committed sources of additional capital at this time. We follow the guidance of Accounting Standards Codification ("ASC") Topic 205-40, </w:t>
      </w:r>
      <w:r>
        <w:rPr>
          <w:rFonts w:ascii="Times New Roman" w:cs="Times New Roman" w:eastAsia="Times New Roman" w:hAnsi="Times New Roman"/>
          <w:sz w:val="18"/>
          <w:szCs w:val="18"/>
          <w:i w:val="1"/>
          <w:iCs w:val="1"/>
          <w:color w:val="auto"/>
        </w:rPr>
        <w:t>Presentation of Financial Statements -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are issued. 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w:t>
      </w:r>
    </w:p>
    <w:p>
      <w:pPr>
        <w:spacing w:after="0" w:line="105"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The forecast of cash resources is forward-looking information that involves risks and uncertainties, and our actual cash requirements may vary materially from our current expectations for a number of other factors that may include, but are not limited to, changes in the focus and direction of our development programs, slower and/or faster than expected progress of our research and development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ind w:right="20"/>
        <w:spacing w:after="0" w:line="276" w:lineRule="auto"/>
        <w:rPr>
          <w:sz w:val="20"/>
          <w:szCs w:val="20"/>
          <w:color w:val="auto"/>
        </w:rPr>
      </w:pPr>
      <w:r>
        <w:rPr>
          <w:rFonts w:ascii="Times New Roman" w:cs="Times New Roman" w:eastAsia="Times New Roman" w:hAnsi="Times New Roman"/>
          <w:sz w:val="18"/>
          <w:szCs w:val="18"/>
          <w:color w:val="auto"/>
        </w:rPr>
        <w:t>efforts, changes in governmental regulation, competitive and technical advances, rising costs associated with the development of our product candidates, our ability to secure partnering arrangements, and costs of filing, prosecuting, defending and enforcing our intellectual property rights. The COVID-19 pandemic continues to evolve and has already resulted in a significant disruption of global financial markets. If the disruption persists and deepens, we could experience an inability to access additional capital, which could in the future negatively affect our operations. If we exhaust our capital reserves more quickly than anticipated, regardless of the reason, and we are unable to obtain additional financing on terms acceptable to us or at all, we may be required to delay, limit, reduce or terminate our product development or future commercialization efforts or grant rights to develop and market product candidates that we would otherwise prefer to develop and market ourselves.</w:t>
      </w:r>
    </w:p>
    <w:p>
      <w:pPr>
        <w:spacing w:after="0" w:line="193"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fund our operations. The manner in which we raise any additional funds may affect the value of your investment in our common stock.</w:t>
      </w:r>
    </w:p>
    <w:p>
      <w:pPr>
        <w:spacing w:after="0" w:line="50"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collaboration agreements. We do not have any committed external source of funds. The unpredictability of the capital markets may severely hinder our ability to raise capital within the time periods needed or on terms we consider acceptable, if at all. In particular, a decline in the market price of our common stock could make it more difficult for us to sell equity or equity-related securities in the future at a time and price that we deem appropriate. Moreover, if we fail to advance one or more of our current product candidates into early or later-stage clinical trials, successfully commercialize one or more of our product candidates, or acquire new product candidates for development, we may have difficulty attracting investors that might otherwise be a source of additional financing.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2021, we entered into the Loan and Security Agreement with SVB. The Loan and Security Agreement provided for an initial term loan of</w:t>
      </w:r>
    </w:p>
    <w:p>
      <w:pPr>
        <w:spacing w:after="0" w:line="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$25.0 million funded at the closing, with an additional tranche of $25.0 million available if certain funding and clinical milestones were met by August 31, 2022. In connection with the initial borrowing, we also issued warrants to SVB and certain of its affiliates for the purchase of up to 432,844 shares of our common stock, in the aggregate, at an exercise price of $2.22 per share. The Loan and Security Agreement was subsequently amended, effective December 28, 2021, to, among other things, eliminate the additional tranche so that the $25.0 million we have drawn down is the full amount available under the SVB Facility. As a result, we do not have any other borrowings available under the SVB Facility. In connection with entering into the Amendment we also amended and restated the warrants. These amended and restated warrants provide for the purchase of up to 649,615 shares of our common stock, in the aggregate, at an exercise price of $1.16 per share.</w:t>
      </w:r>
    </w:p>
    <w:p>
      <w:pPr>
        <w:spacing w:after="0" w:line="7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Furthermore, the ongoing impact of COVID-19 and geopolitical instability, including the recent military conflict between Russia and Ukraine, on global financial markets could make the terms of any available financing less attractive to use and more dilutive to our existing shareholders.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that could adversely affect our business and place restrictions on our operating and financial flexibility.</w:t>
      </w:r>
    </w:p>
    <w:p>
      <w:pPr>
        <w:spacing w:after="0" w:line="13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Amended Loan and Security Agreement contains customary affirmative and negative covenants and events of default applicable to us and any subsidiaries. The affirmative covenants require us (and us to cause our subsidiaries, if any) to maintain governmental approvals, deliver certain financial reports, maintain insurance coverage, and protect material intellectual property, among other things. The negative covenants restrict our and our subsidiaries’ ability to, among other things, transfer collateral, change our business, engage in mergers or acquisitions, incur additional indebtedness, pay cash dividends or make other distributions, make investments, create liens, sell assets and make any payment on subordinated debt. The restrictive covenants of the Amended Loan and Security Agreement could cause us to be unable to pursue business opportunities that we or our stockholders may consider beneficial, including entering into certain licensing arrangements, maintaining flexible cash management arrangements and engaging in certain change in control transactions, among others.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ind w:right="540"/>
        <w:spacing w:after="0" w:line="313" w:lineRule="auto"/>
        <w:rPr>
          <w:sz w:val="20"/>
          <w:szCs w:val="20"/>
          <w:color w:val="auto"/>
        </w:rPr>
      </w:pPr>
      <w:r>
        <w:rPr>
          <w:rFonts w:ascii="Times New Roman" w:cs="Times New Roman" w:eastAsia="Times New Roman" w:hAnsi="Times New Roman"/>
          <w:sz w:val="18"/>
          <w:szCs w:val="18"/>
          <w:color w:val="auto"/>
        </w:rPr>
        <w:t>Our debt combined with our other financial obligations and contractual commitments could have significant adverse consequences for our business, including:</w:t>
      </w:r>
    </w:p>
    <w:p>
      <w:pPr>
        <w:spacing w:after="0" w:line="41" w:lineRule="exact"/>
        <w:rPr>
          <w:sz w:val="20"/>
          <w:szCs w:val="20"/>
          <w:color w:val="auto"/>
        </w:rPr>
      </w:pPr>
    </w:p>
    <w:p>
      <w:pPr>
        <w:ind w:left="760" w:right="40" w:hanging="378"/>
        <w:spacing w:after="0" w:line="313"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flows to payment on our debt, which would reduce available funds for further research and development;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must pay on debt with variable interest rates, if market rates of interest increase;</w:t>
      </w:r>
    </w:p>
    <w:p>
      <w:pPr>
        <w:spacing w:after="0" w:line="144" w:lineRule="exact"/>
        <w:rPr>
          <w:rFonts w:ascii="Times New Roman" w:cs="Times New Roman" w:eastAsia="Times New Roman" w:hAnsi="Times New Roman"/>
          <w:sz w:val="18"/>
          <w:szCs w:val="18"/>
          <w:color w:val="auto"/>
        </w:rPr>
      </w:pPr>
    </w:p>
    <w:p>
      <w:pPr>
        <w:ind w:left="760" w:right="380" w:hanging="378"/>
        <w:spacing w:after="0" w:line="329"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reduce our ability to take certain corporate actions, acquire companies, products or technology, or obtain further debt financing; and</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pledge our non-intellectual property assets as collateral, which could limit our ability to obtain additional debt financing.</w:t>
      </w:r>
    </w:p>
    <w:p>
      <w:pPr>
        <w:spacing w:after="0" w:line="1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intend to satisfy our debt service obligations with our existing cash and cash equivalents and any additional amounts we may raise through future debt and equity financings. Our ability to make payments due under the SVB Facility depends on our future performance, which is subject to economic, financial, competitive conditions and other factors beyond our control. We may not have sufficient funds or may be unable to arrange for additional financing to pay the amounts due under our existing debt. In addition, a failure to comply with certain equity raise and clinical milestone requirements in the Amended Loan and Security Agreement could result in us having to deposit unrestricted and unencumbered cash equal to 50% of the principal amount of the SVB Facility then outstanding and an amount equal to 5.75% of the original principal amount in a cash collateral account with SVB. Failure to pay any amount due under the SVB Facility, to comply with covenants under the Amended Loan and Security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3.00% (unless SVB elects to impose a smaller increase) and would provide SVB with the right to accelerate all obligations under the SVB Facility and exercise remedies against us and the collateral securing the SVB Facility and other obligations under the Amended Loan and Security Agreement, including foreclosure against assets securing the SVB Facility. In addition, the covenants under the Amended Loan and Security Agreement and the pledge of substantially all of our assets, excluding our intellectual property (which is subject to a negative pledge under the Amended Loan and Security Agreement), as collateral on the loan may limit our ability to obtain additional debt financing.</w:t>
      </w:r>
    </w:p>
    <w:p>
      <w:pPr>
        <w:spacing w:after="0" w:line="184"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all of which have been remediated. We may identify additional material weaknesses in the future or otherwise fail to maintain an effective system of internal controls, which may result in material misstatements of our financial statements or could have a material adverse effect on our business and trading price of our securities.</w:t>
      </w:r>
    </w:p>
    <w:p>
      <w:pPr>
        <w:spacing w:after="0" w:line="5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Nasdaq Global Select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88"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8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1" w:name="page32"/>
    <w:bookmarkEnd w:id="31"/>
    <w:p>
      <w:pPr>
        <w:ind w:right="20"/>
        <w:spacing w:after="0" w:line="313" w:lineRule="auto"/>
        <w:rPr>
          <w:sz w:val="20"/>
          <w:szCs w:val="20"/>
          <w:color w:val="auto"/>
        </w:rPr>
      </w:pPr>
      <w:r>
        <w:rPr>
          <w:rFonts w:ascii="Times New Roman" w:cs="Times New Roman" w:eastAsia="Times New Roman" w:hAnsi="Times New Roman"/>
          <w:sz w:val="18"/>
          <w:szCs w:val="18"/>
          <w:color w:val="auto"/>
        </w:rPr>
        <w:t>in material misstatements in our financial statements. Furthermore, if we cannot provide reliable financial reports or prevent fraud, our business and results of operations could be harmed and investors could lose confidence in our reported financial information.</w:t>
      </w:r>
    </w:p>
    <w:p>
      <w:pPr>
        <w:spacing w:after="0" w:line="145"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plans to develop and commercialize non-viral adoptive TCR-T cell therapies can be considered a new approach to cancer treatment, the successful development of which is subject to significant challenges.</w:t>
      </w:r>
    </w:p>
    <w:p>
      <w:pPr>
        <w:spacing w:after="0" w:line="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intend to employ technologies such as the technology licensed from MD Anderson pursuant to that certain license agreement between us, Precigen, and MD Anderson, with an effective date of January 13, 2015, or the MD Anderson License, which was subsequently assigned by Precigen and assumed by PGEN effective as of January 1, 2018, from PGEN, pursuant to the License Agreement, and from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subjects us to a number of challenges, including:</w:t>
      </w:r>
    </w:p>
    <w:p>
      <w:pPr>
        <w:spacing w:after="0" w:line="89" w:lineRule="exact"/>
        <w:rPr>
          <w:sz w:val="20"/>
          <w:szCs w:val="20"/>
          <w:color w:val="auto"/>
        </w:rPr>
      </w:pPr>
    </w:p>
    <w:p>
      <w:pPr>
        <w:ind w:left="760" w:hanging="378"/>
        <w:spacing w:after="0" w:line="31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very limited experience with the commercial development of genetically modified T-cell therapies for cancer;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our clinical trials using this new approach or selecting the appropriate TCRs in a way that may lead to optimal results;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manufacturing appropriate TCRs from either the patient or third parties that can be administered to a patient;</w:t>
      </w:r>
    </w:p>
    <w:p>
      <w:pPr>
        <w:spacing w:after="0" w:line="144" w:lineRule="exact"/>
        <w:rPr>
          <w:rFonts w:ascii="Times New Roman" w:cs="Times New Roman" w:eastAsia="Times New Roman" w:hAnsi="Times New Roman"/>
          <w:sz w:val="18"/>
          <w:szCs w:val="18"/>
          <w:color w:val="auto"/>
        </w:rPr>
      </w:pPr>
    </w:p>
    <w:p>
      <w:pPr>
        <w:ind w:left="760" w:right="320" w:hanging="378"/>
        <w:spacing w:after="0" w:line="329"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deploying consistent and reliable processes for engineering a patient’s and/or donor’s T-cells ex vivo and infusing the T cells back into the patient;</w:t>
      </w:r>
    </w:p>
    <w:p>
      <w:pPr>
        <w:spacing w:after="0" w:line="40" w:lineRule="exact"/>
        <w:rPr>
          <w:rFonts w:ascii="Times New Roman" w:cs="Times New Roman" w:eastAsia="Times New Roman" w:hAnsi="Times New Roman"/>
          <w:sz w:val="18"/>
          <w:szCs w:val="18"/>
          <w:color w:val="auto"/>
        </w:rPr>
      </w:pPr>
    </w:p>
    <w:p>
      <w:pPr>
        <w:ind w:left="760" w:right="220" w:hanging="378"/>
        <w:spacing w:after="0" w:line="31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delivering each of the potential products, which may increase the risk of adverse side effects of the potential products;</w:t>
      </w:r>
    </w:p>
    <w:p>
      <w:pPr>
        <w:spacing w:after="0" w:line="67" w:lineRule="exact"/>
        <w:rPr>
          <w:rFonts w:ascii="Times New Roman" w:cs="Times New Roman" w:eastAsia="Times New Roman" w:hAnsi="Times New Roman"/>
          <w:sz w:val="18"/>
          <w:szCs w:val="18"/>
          <w:color w:val="auto"/>
        </w:rPr>
      </w:pPr>
    </w:p>
    <w:p>
      <w:pPr>
        <w:ind w:left="760" w:right="20" w:hanging="378"/>
        <w:spacing w:after="0" w:line="31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the potential products, such as the potential adverse side effects related to cytokine release;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44" w:lineRule="exact"/>
        <w:rPr>
          <w:rFonts w:ascii="Times New Roman" w:cs="Times New Roman" w:eastAsia="Times New Roman" w:hAnsi="Times New Roman"/>
          <w:sz w:val="18"/>
          <w:szCs w:val="18"/>
          <w:color w:val="auto"/>
        </w:rPr>
      </w:pPr>
    </w:p>
    <w:p>
      <w:pPr>
        <w:ind w:left="760" w:right="480" w:hanging="378"/>
        <w:spacing w:after="0" w:line="31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potential products, including long-term follow-up for all patients who receive the potential products;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additional clinical and, if approved, commercial supplies for the materials used to manufacture and process the potential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with a cost of goods that allows for an attractive return on investment;</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therapies for types of cancers beyond those addressed by the current potential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defending the intellectual property rights relating to any products we develop; and</w:t>
      </w:r>
    </w:p>
    <w:p>
      <w:pPr>
        <w:spacing w:after="0" w:line="157" w:lineRule="exact"/>
        <w:rPr>
          <w:rFonts w:ascii="Times New Roman" w:cs="Times New Roman" w:eastAsia="Times New Roman" w:hAnsi="Times New Roman"/>
          <w:sz w:val="18"/>
          <w:szCs w:val="18"/>
          <w:color w:val="auto"/>
        </w:rPr>
      </w:pPr>
    </w:p>
    <w:p>
      <w:pPr>
        <w:ind w:left="760" w:right="120" w:hanging="378"/>
        <w:spacing w:after="0" w:line="313"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the intellectual property rights, in particular, the patent rights, of third parties, including competitors, such as those developing T-cell therapies.</w:t>
      </w:r>
    </w:p>
    <w:p>
      <w:pPr>
        <w:spacing w:after="0" w:line="54"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address these challenges, which could prevent us from achieving our research, development and commercialization goals.</w:t>
      </w:r>
    </w:p>
    <w:p>
      <w:pPr>
        <w:spacing w:after="0" w:line="145"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6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genetically modified TCR-T cell product candidates are supported by limited clinical data, all of which has been generated through trials conducted by MD Anderson and the NCI, not by us. We have assumed control of the overall clinical and regulatory development of our TCR-T cell product candidates, and any failure to obtain, or delays in obtaining, sponsorship of new INDs, or in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2" w:name="page33"/>
    <w:bookmarkEnd w:id="32"/>
    <w:p>
      <w:pPr>
        <w:ind w:right="60"/>
        <w:spacing w:after="0" w:line="281" w:lineRule="auto"/>
        <w:rPr>
          <w:sz w:val="20"/>
          <w:szCs w:val="20"/>
          <w:color w:val="auto"/>
        </w:rPr>
      </w:pPr>
      <w:r>
        <w:rPr>
          <w:rFonts w:ascii="Times New Roman" w:cs="Times New Roman" w:eastAsia="Times New Roman" w:hAnsi="Times New Roman"/>
          <w:sz w:val="18"/>
          <w:szCs w:val="18"/>
          <w:color w:val="auto"/>
        </w:rPr>
        <w:t>filing INDs sponsored by us for these or any other product candidates we determine to advance could negatively affect the timing of our potential future clinical trials. Such an impact on timing could increase research and development costs and could delay or prevent obtaining regulatory approval for our product candidates, either of which could have a material adverse effect on our business. We began enrolling patients in our TCR-T Library Phase 1/2 Trial in January 2022.</w:t>
      </w:r>
    </w:p>
    <w:p>
      <w:pPr>
        <w:spacing w:after="0" w:line="8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Further, we did not control the design or conduct of the previous trials. It is possible that the FDA will not accept these previous trials as providing adequate support for future clinical trials, whether controlled by us or third parties, for any of one or more reasons,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MD Anderson or other entities, which will be expensive and delay the submission and licensure or other regulatory approvals with respect to any of our product candidates.</w:t>
      </w:r>
    </w:p>
    <w:p>
      <w:pPr>
        <w:spacing w:after="0" w:line="7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Moreover, there are a number of regulatory requirements that we must continue to satisfy as we conduct our clinical trials of TCR-T cell product candidates in the United States. The criteria these regulators use to determine the safety and efficacy of a product candidate vary substantially according to the type, complexity, novelty and intended use and market of the potential products and change frequently. Satisfaction of these requirements will entail substantial time, effort and financial resources. To date, the FDA has approved only a few adoptive cell therapies for commercialization. Because adoptive cell therapies are relatively new and our product candidates employ novel gene expression and cell technologies, regulatory agencies may lack experience in evaluating product candidates like our Library TCR-T product candidates. This novelty may heighten regulatory scrutiny of our therapies or lengthen the regulatory review process, including the time it takes for the FDA to review our IND applications if and when submitted, increase our development costs and delay or prevent commercialization of our product candidates. These factors make it difficult to determine how long it will take or how much it will cost to obtain regulatory approvals for our product candidates. Any time, effort and financial resources we expend on our clinical product candidates and other early-stage product development programs, which are ultimately not successful may adversely affect our business.</w:t>
      </w:r>
    </w:p>
    <w:p>
      <w:pPr>
        <w:spacing w:after="0" w:line="18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We report interim data on certain of our clinical trials and we cannot assure you that interim data will be predictive of either future interim results or final study results. In addition, the results ultimately obtained from our preclinical studies or other earlier clinical trials for our product candidates may not be predictive of future results.</w:t>
      </w:r>
    </w:p>
    <w:p>
      <w:pPr>
        <w:spacing w:after="0" w:line="5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As part of our business, we provide updates related to the development of our product candidates, which may include updates related to interim clinical trial data. We anticipate that our clinical trials will involve small patient populations and because of the small sample size, the interim results of these, and all, clinical trials may be subject to substantial variability and may not be indicative of either future interim results or final results.</w:t>
      </w:r>
    </w:p>
    <w:p>
      <w:pPr>
        <w:spacing w:after="0" w:line="6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We commenced enrollment in our TCR-T Library Phase 1/2 Trial in January 2022 and announced the treatment of the first patient in May 2022. We do not know at this stage whether patient response data from this trial will be favorable, and initial success in clinical trials may not be indicative of results obtained when such trials are completed. Our product candidates may fail to show the desired safety and efficacy in clinical development, and we cannot assure you that the results of any future trials will demonstrate the value and efficacy of our product candidates. Even if our clinical trials are completed as planned, we cannot be certain that their results will support approval of our product candidates.</w:t>
      </w:r>
    </w:p>
    <w:p>
      <w:pPr>
        <w:spacing w:after="0" w:line="8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There are no approved engineered TCR-T cell immunotherapies for solid tumors. We believe our product candidates may be effective against solid tumors and plan to develop product candidates for use in solid tumors. We cannot guarantee that our product candidates will be able to access the solid tumor or show any functionality in the solid tumor microenvironment. The cellular environment in which solid tumor cells thrive is generally hostile to T cells due to factors such as the presence of immunosuppressive cells, humoral factors and limited access to nutrients. In addition, the safety profile of our product candidates may differ in a solid tumor setting. If we are unable to make our product candidates function in solid tumors, our development plans and business will be significantly harmed.</w:t>
      </w:r>
    </w:p>
    <w:p>
      <w:pPr>
        <w:spacing w:after="0" w:line="89"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Preliminary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right="20"/>
        <w:spacing w:after="0" w:line="313" w:lineRule="auto"/>
        <w:rPr>
          <w:sz w:val="20"/>
          <w:szCs w:val="20"/>
          <w:color w:val="auto"/>
        </w:rPr>
      </w:pPr>
      <w:r>
        <w:rPr>
          <w:rFonts w:ascii="Times New Roman" w:cs="Times New Roman" w:eastAsia="Times New Roman" w:hAnsi="Times New Roman"/>
          <w:sz w:val="18"/>
          <w:szCs w:val="18"/>
          <w:color w:val="auto"/>
        </w:rPr>
        <w:t>In addition, the results of any preclinical studies for our product candidates may not be predictive of the results of clinical trials. For example, preclinical models as applied to cell therapy in oncology do not adequately represent the clinical setting, and thus cannot predict clinical activity nor all potential risks.</w:t>
      </w:r>
    </w:p>
    <w:p>
      <w:pPr>
        <w:spacing w:after="0" w:line="145"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will need to attract, recruit and retain qualified personnel and we will continue to rely on key scientific and medical advisors, and their knowledge of our business and technical expertise would be difficult to replace.</w:t>
      </w:r>
    </w:p>
    <w:p>
      <w:pPr>
        <w:spacing w:after="0" w:line="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2021, we experienced transitions in our senior management culminating in the appointment of Kevin S. Boyle, Sr. as Chief Executive Officer and a member of the board of directors in August 2021 and the hiring of Michael Wong as our Vice President, Finance in September 2021 and his appointment as principal accounting officer in November 2021. In November 2021, we hired Melinda Lackey as our Senior Vice President, Legal. Management transition is often difficult and inherently causes some loss of institutional knowledge and creates potential uncertainty in strategy execution.</w:t>
      </w:r>
    </w:p>
    <w:p>
      <w:pPr>
        <w:spacing w:after="0" w:line="7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 addition, 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7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We are highly dependent on our principal scientific, regulatory and medical advisors. The loss of any of our key personnel, could result in delays in product development, loss of key personnel or partnerships and diversion of management resources, which could adversely affect our operating results. We do not carry “key person” life insurance policies on any of our officers or key employees.</w:t>
      </w:r>
    </w:p>
    <w:p>
      <w:pPr>
        <w:spacing w:after="0" w:line="166" w:lineRule="exact"/>
        <w:rPr>
          <w:sz w:val="20"/>
          <w:szCs w:val="20"/>
          <w:color w:val="auto"/>
        </w:rPr>
      </w:pPr>
    </w:p>
    <w:p>
      <w:pPr>
        <w:ind w:right="4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biopharmaceutical companies, which may result in others discovering, developing or commercializing products before, or more successfully than, we do.</w:t>
      </w:r>
    </w:p>
    <w:p>
      <w:pPr>
        <w:spacing w:after="0" w:line="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Achilles Therapeutics, Adaptimmune Therapeutics in collaboration with GlaxoSmithKline, Affini-T Therapeutics, ArsenalBio, bluebird bio, BioNTech, Bristol-Myers Squibb, Immatics, Iovance Biotherapeutics, Lion TCR, Lyell Immunopharma, Medigene, Nurix Therapeutics, Neogene Therapeutics, NexImmune, PACT Pharma, Precigen, Tactiva Therapeutics, Takara Bio, TCR</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Therapeutics, T-knife Therapeutics, Tmunity Therapeutics,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Companies in the T-cell therapy segment that have target discovery platforms like ours include Adaptive Therapeutics, Affini-T Therapeutics, Immatics, Enara Bio,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and several companies developing CRISPR technology, including Crispr Therapeutics.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Precision Biosciences, and Servier Laboratories (in collaboration with Cellectis),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 cell-based treatments offered by other companies such as Amgen, AstraZeneca, Bristol-Myers Squibb, Incyte, Merck, and Roche. Additionally, our ability to pursue partnerships relating to our IL-12 and CAR-T programs may be impacted by substantial competition from these and other biopharmaceutical companies.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of potential TCR products, we may not be the first to market and that may affect the price or demand for our potential products. Existing or future competing products may provide greater therapeutic convenience or clinical or other benefits for a specific indication, or fewer side effects, than our potential products or may offer comparable performance at a lower cost. Additionally, the availability and price of our competitors’ products could limit the demand and the price we are able to charge for our potential products thereby reducing or eliminating our commercial opportunity. We may not be able to implement our business plan if the acceptance of our potential products is inhibited by price competition or the reluctance of physicians to switch from existing methods of treatment to our potential products, or if physicians switch to other new drug or biologic products or choose to reserve our potential products. Additionally, a competitor could obtain orphan product exclusivity from the FDA with respect to such competitor’s product. If such competitor product is determined to be the same product as one of our potential products, that may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ind w:right="240"/>
        <w:spacing w:after="0" w:line="282" w:lineRule="auto"/>
        <w:rPr>
          <w:sz w:val="20"/>
          <w:szCs w:val="20"/>
          <w:color w:val="auto"/>
        </w:rPr>
      </w:pPr>
      <w:r>
        <w:rPr>
          <w:rFonts w:ascii="Times New Roman" w:cs="Times New Roman" w:eastAsia="Times New Roman" w:hAnsi="Times New Roman"/>
          <w:sz w:val="18"/>
          <w:szCs w:val="18"/>
          <w:color w:val="auto"/>
        </w:rPr>
        <w:t>prevent us from obtaining approval from the FDA for such potential products for the same indication for seven years, except in limited circumstances. If our potential products fail to capture and maintain market share, we may not achieve sufficient product revenues and our business will suffer.</w:t>
      </w:r>
    </w:p>
    <w:p>
      <w:pPr>
        <w:spacing w:after="0" w:line="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Many of these competitors have products already approved or in development. In addition,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84"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 and biopharmaceuticals;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drugs and biopharmaceuticals;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 biopharmaceuticals;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 and biopharmaceuticals.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may be affected in many cases by insurers or other third-party payors seeking to encourage the use of generic products.</w:t>
      </w:r>
    </w:p>
    <w:p>
      <w:pPr>
        <w:spacing w:after="0" w:line="235"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Any termination of our licenses with PGEN,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5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that are licensed from others, particularly MD Anderson, PGEN, and the NCI, as well as the contributions by MD Anderson under our research and development agreements. Any termination of these licenses or research and development agreements could result in the loss of significant rights and could harm our ability to commercialize our product candidates. Disputes may also arise between us and these licensors regarding intellectual property subject to a license agreement, including those relating to:</w:t>
      </w:r>
    </w:p>
    <w:p>
      <w:pPr>
        <w:spacing w:after="0" w:line="70"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760" w:hanging="378"/>
        <w:spacing w:after="0" w:line="313"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and the technology and processes of PGEN, MD Anderson, the NCI and our other licensors, infringe intellectual property of the licensor that is not subject to the applicable license agreement;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pursuant to our relationships with our licensors and partners;</w:t>
      </w:r>
    </w:p>
    <w:p>
      <w:pPr>
        <w:spacing w:after="0" w:line="157" w:lineRule="exact"/>
        <w:rPr>
          <w:rFonts w:ascii="Times New Roman" w:cs="Times New Roman" w:eastAsia="Times New Roman" w:hAnsi="Times New Roman"/>
          <w:sz w:val="18"/>
          <w:szCs w:val="18"/>
          <w:color w:val="auto"/>
        </w:rPr>
      </w:pPr>
    </w:p>
    <w:p>
      <w:pPr>
        <w:ind w:left="760" w:right="240" w:hanging="378"/>
        <w:spacing w:after="0" w:line="30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complying with our diligence obligations with respect to the use of the licensed technology in relation to our development and commercialization of our potential products under the MD Anderson License, the License Agreement with PGEN and our patent license agreement with the NCI;</w:t>
      </w:r>
    </w:p>
    <w:p>
      <w:pPr>
        <w:spacing w:after="0" w:line="61" w:lineRule="exact"/>
        <w:rPr>
          <w:rFonts w:ascii="Times New Roman" w:cs="Times New Roman" w:eastAsia="Times New Roman" w:hAnsi="Times New Roman"/>
          <w:sz w:val="18"/>
          <w:szCs w:val="18"/>
          <w:color w:val="auto"/>
        </w:rPr>
      </w:pPr>
    </w:p>
    <w:p>
      <w:pPr>
        <w:ind w:left="760" w:right="340" w:hanging="378"/>
        <w:spacing w:after="0" w:line="313"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our partners are complying with all of their obligations to support our programs under licenses and research and development agreements; and</w:t>
      </w:r>
    </w:p>
    <w:p>
      <w:pPr>
        <w:spacing w:after="0" w:line="67" w:lineRule="exact"/>
        <w:rPr>
          <w:rFonts w:ascii="Times New Roman" w:cs="Times New Roman" w:eastAsia="Times New Roman" w:hAnsi="Times New Roman"/>
          <w:sz w:val="18"/>
          <w:szCs w:val="18"/>
          <w:color w:val="auto"/>
        </w:rPr>
      </w:pPr>
    </w:p>
    <w:p>
      <w:pPr>
        <w:ind w:left="760" w:right="160" w:hanging="378"/>
        <w:spacing w:after="0" w:line="313"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ownership of inventions and know-how resulting from the joint creation or use of intellectual property by our licensors and by us.</w:t>
      </w:r>
    </w:p>
    <w:p>
      <w:pPr>
        <w:spacing w:after="0" w:line="6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If disputes over intellectual property that we have licensed prevent or impair our ability to maintain our current licensing arrangements, particularly with MD Anderson, PGEN and the NCI, on acceptable terms, we may be unable to successfully develop and commercialize the affected potential products. We are generally also subject to all of the same risks with respect to protection of intellectual property that we license as we are for intellectual property that we own. If we or our licensors fail to adequately protect this intellectual property, our ability to commercialize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and post-grant review have been implemented, which adds uncertainty to the possibility of challenge to our or our licensors’ patents in the future.</w:t>
      </w:r>
    </w:p>
    <w:p>
      <w:pPr>
        <w:spacing w:after="0" w:line="248" w:lineRule="exact"/>
        <w:rPr>
          <w:sz w:val="20"/>
          <w:szCs w:val="20"/>
          <w:color w:val="auto"/>
        </w:rPr>
      </w:pPr>
    </w:p>
    <w:p>
      <w:pPr>
        <w:ind w:right="5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rights licensed to us and PGEN by MD Anderson or the rights licensed to us by the National Cancer Institute to technologies relating to TCR-T cell therapies and other related technologies.</w:t>
      </w:r>
    </w:p>
    <w:p>
      <w:pPr>
        <w:spacing w:after="0" w:line="5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Under the MD Anderson License, we, together with PGEN, received an exclusive, worldwide license to certain technologies owned and licensed by MD Anderson including technologies relating to novel CAR-T cell and TCR-T cell therapies as well as either co-exclusive or non-exclusive licenses under certain related technologies. These proprietary methods and technologies, along with others within PGEN’s technology suite and licensed to us by PGEN,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PGEN shall then have a fully-paid up, royalty free, perpetual, irrevocable and sublicensable license to use the licensed intellectual property thereunder.</w:t>
      </w:r>
    </w:p>
    <w:p>
      <w:pPr>
        <w:spacing w:after="0" w:line="7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After 10 years from the date of the MD Anderson License and subject to a 90-day cure period, MD Anderson will have the right to convert the MD Anderson License into a non-exclusive license if we and PGEN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PGEN are not meeting the diligence requirements in such funding agreement or contract, as applicable. MD Anderson may also terminate the agreement with written notice upon material breach by us or PGEN, if such breach has not been cured within 60 days of receiving such notice. In addition, the MD Anderson License will terminate upon the occurrence of certain insolvency events for both us or PGEN and may be terminated by the mutual written agreement of us, PGEN and MD Anderson.</w:t>
      </w:r>
    </w:p>
    <w:p>
      <w:pPr>
        <w:spacing w:after="0" w:line="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Under the Patent License, we received an exclusive, worldwide license to certain intellectual property and patents from NCI for TCRs we can introduce into T cells using transposon-based genetic engineering. These T cells may be used in our TCR-T Library Phase 1/2 Clinical Trial or in subsequent clinical trials, if initiated. The term of the Patent License shall expire with the last of the licensed patents. The NCI could terminate or modify the Patent License if it believes we have materially breached, by failing to meet the defined milestones by the required dates, or upon certain insolvency events that are not cured within the 90-day time limit once we are notified of such alleged breach. The Patent License is also subject to certain public use requirements wherein the NCI could require us to sublicense certain product candidates or terminate or modify the Patent License if we do not meet these public use requirements. The Patent License could also be terminated by the NCI if we are unable to pay the required benchmark payments or the annual minimum royalty payments.</w:t>
      </w:r>
    </w:p>
    <w:p>
      <w:pPr>
        <w:spacing w:after="0" w:line="74"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perform under the MD Anderson License or the Patent License and if the MD Anderson License or the Patent License is terminated it may prevent us from achieving our business objectives.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partly reliant on the National Cancer Institute for research and development and early clinical testing of certain of our product candidates.</w:t>
      </w:r>
    </w:p>
    <w:p>
      <w:pPr>
        <w:spacing w:after="0" w:line="13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 xml:space="preserve">A portion of our research and development is being conducted by the NCI under the CRADA entered into in January 2017 and which was amended in March 2018, February 2019 and March 2022. Under the CRADA, the NCI, with Dr. Steven A. Rosenberg as the principal investigator, is responsible for conducting a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We have limited control over the nature or timing of the NCI’s clinical trial and limited visibility into their day-to-day activities, including with respect to how they are providing and administering T-cell therapy. For example, the research we are funding constitutes only a small portion of the NCI’s overall research. Additionally, other research being conducted by Dr. Rosenberg may at times receive higher priority than research on our program. Further, in response to the COVID-19 pandemic, the NCI has taken precautionary measures that have delayed the enrollment of the personalized TCR-T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In addition, enrollment in this clinical trial has been temporarily suspended due to issues internal to NCI and unrelated to our technology. The progress and timeline, including the timeline for dosing patients, for this trial are under the control of the NCI.</w:t>
      </w:r>
    </w:p>
    <w:p>
      <w:pPr>
        <w:spacing w:after="0" w:line="7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CRADA expired by its terms on January 9, 2022. In March 2022, we entered into an amendment to the CRADA that is retroactive, effective January 9, 2022 to extend the term of the CRADA until January 9,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commercialize any products, generate significant revenues, or attain profitability.</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To date, none of our product candidates have been approved for commercial sale in any country. The process to develop, obtain regulatory approval for, and commercialize potential product candidates is long, complex and costly. Unless and until we receive approval from the FDA and/or other foreign regulatory authorities for our product candidates, we cannot sell our products and will not have product revenues. Even if we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w:t>
      </w:r>
    </w:p>
    <w:p>
      <w:pPr>
        <w:spacing w:after="0" w:line="13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We have not previously completed any pivotal clinical trials, submitted a BLA or demonstrated an ability to perform the functions necessary for the successful commercialization of any product candidates. The successful commercialization of any product candidates will require us to perform a variety of functions, including:</w:t>
      </w:r>
    </w:p>
    <w:p>
      <w:pPr>
        <w:spacing w:after="0" w:line="6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undertake preclinical development and clinical trials;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44"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66" w:lineRule="exact"/>
        <w:rPr>
          <w:sz w:val="20"/>
          <w:szCs w:val="20"/>
          <w:color w:val="auto"/>
        </w:rPr>
      </w:pPr>
    </w:p>
    <w:p>
      <w:pPr>
        <w:ind w:right="46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development and commercialization collaborations, which failure could adversely affect, and potentially prohibit, our ability to develop our product candidates.</w:t>
      </w:r>
    </w:p>
    <w:p>
      <w:pPr>
        <w:spacing w:after="0" w:line="3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Developing biopharmaceutical products and complementary technologies, conducting clinical trials, obtaining marketing approval, establishing manufacturing capabilities and marketing approved products is expensive, and therefore, we anticipate exploring collaborations with third parties that have alternative technologies, more resources and more experience than we do. In situations where we enter into a development and commercial collaboration arrangement for a product candidate or complementary technology, we may also seek to establish additional collaborations for development and commercialization in territories outside of those addressed by the first collaboration arrangement for such product candidate or technology. There are a limited number of potential partners, and we expect to face competition in seeking appropriate partners. If we are unable to enter into any development and commercial collaborations and/or sales and marketing arrangements on reasonable and acceptable terms, if at all, we may be unable to successfully develop and seek regulatory approval for our product candidates and/or effectively market and sell future approved products, if any, in some or all of the territories outside of the United States where it may otherwise be valuable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as we expand our development and regulatory capabilities, which could disrupt our operations.</w:t>
      </w:r>
    </w:p>
    <w:p>
      <w:pPr>
        <w:spacing w:after="0" w:line="13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As we advance our product candidates to the point of, and through, clinical trials, we will need to expand our development, regulatory, manufacturing, marketing and sales capabilities or contract with third parties to provide for these capabilities. Our future financial performance and our ability to commercialize our product candidates and to compete effectively will depend, in part, on our ability to manage any future growth effectively. To manage this growth, we must expand our facilities, augment our operational, financial and management systems and hire and train additional qualified personnel with expertise in preclinical and clinical research and testing, manufacturing, government regulation and eventually sales and marketing. Competition for qualified individuals is intense among numerous biopharmaceutical companies, universities, and other research institutions and we cannot be certain that our search will be successful. If we are unable to manage our growth effectively, including attracting and retaining qualified personnel, our business may be harmed.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ind w:right="4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Restructuring activities could disrupt our business and effect our results of operations. In addition, we may not achieve anticipated benefits and saving from such restructuring activities</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 September 2021, we announced a restructuring enabling us to focus on and enhance our TCR program. We eliminated approximately 60 positions, representing more than 50% of our workforce. 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In addition, we may not achieve anticipated benefits from the restructuring. Due to our limited resources, we may not be able to effectively manage our operations or retain qualified personnel, which may result in weaknesses to our infrastructure and operations, risks that we may be unable to comply with legal and regulatory requirements, and loss of employees and reduced productivity among remaining employees. For example, the workforce reduction may negatively impact our clinical, manufacturing and regulatory functions, which would have a negative impact on our ability to successfully develop and, ultimately, commercialize our product candidates. If our management is unable to successfully manage this transition and restructuring activities, our expenses may be more than expected and we may be unable to implement our business strategy. As a result, our future financial performance and our ability to commercialize our product candidates successfully would be negatively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subject us to the risk of liability claims associated with the use of hazardous materials and chemicals.</w:t>
      </w:r>
    </w:p>
    <w:p>
      <w:pPr>
        <w:spacing w:after="0" w:line="13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Our contract research and development activities may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14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70"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prior governmental approvals;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38" w:name="page39"/>
    <w:bookmarkEnd w:id="38"/>
    <w:p>
      <w:pPr>
        <w:ind w:right="200"/>
        <w:spacing w:after="0" w:line="289" w:lineRule="auto"/>
        <w:rPr>
          <w:sz w:val="20"/>
          <w:szCs w:val="20"/>
          <w:color w:val="auto"/>
        </w:rPr>
      </w:pPr>
      <w:r>
        <w:rPr>
          <w:rFonts w:ascii="Times New Roman" w:cs="Times New Roman" w:eastAsia="Times New Roman" w:hAnsi="Times New Roman"/>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4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 Our ability to manufacture clinical supplies of our product candidates could be disrupted if our own operations or those of our suppliers are affected by a man-made or natural disaster or other business interruption. We may have limited recourse against third parties if the non-compliance is due to factors outside of the manufacturer’s control.</w:t>
      </w:r>
    </w:p>
    <w:p>
      <w:pPr>
        <w:spacing w:after="0" w:line="179"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find appropriate partners to continue the development of the product candidates we de-prioritized in 2021 which may prevent us from ever deriving meaningful revenue from them.</w:t>
      </w:r>
    </w:p>
    <w:p>
      <w:pPr>
        <w:spacing w:after="0" w:line="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 2021, we elected to prioritize our Library TCR-T program and significantly reduced our activities in connection with our Controlled IL-12 and CAR-T programs to preserve our capital resources. The decision to significantly reduce activities for our Controlled IL-12 and CAR-T programs may negatively impact the potential for these programs, which could have a material adverse effect on our business. We are actively exploring partnership opportunities for our Controlled IL-12 and CAR-T programs to support their continued development. If we are unable to identify an appropriate strategic partner or to negotiate and consummate a license or sale agreement with such a partner, it will be difficult to advance the development of these two programs, increasing the likelihood that we may be unable to derive any meaningful revenue from these assets.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mutually agreed with TriArm Therapeutics Ltd., or TriArm, to dissolve the Eden BioCell joint venture.</w:t>
      </w:r>
    </w:p>
    <w:p>
      <w:pPr>
        <w:spacing w:after="0" w:line="235" w:lineRule="exact"/>
        <w:rPr>
          <w:sz w:val="20"/>
          <w:szCs w:val="20"/>
          <w:color w:val="auto"/>
        </w:rPr>
      </w:pPr>
    </w:p>
    <w:p>
      <w:pPr>
        <w:jc w:val="both"/>
        <w:ind w:right="38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contract manufacturers, CROs, shippers and others.</w:t>
      </w:r>
    </w:p>
    <w:p>
      <w:pPr>
        <w:spacing w:after="0" w:line="5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our manufacturing operations or the operations of third-party manufacturers, CROs and other third parties upon whom we rely or may rely on in the future.</w:t>
      </w:r>
    </w:p>
    <w:p>
      <w:pPr>
        <w:spacing w:after="0" w:line="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depend on a worldwide supply chain to manufacture products used in our preclinical studies and clinical trials. Quarantines, shelter-in-place and similar government orders, or the expectation that such orders, shutdowns or other restrictions could occur, whether related to COVID-19 or other infectious diseases, could impact personnel at our own manufacturing facilities or third-party manufacturing facilities in the United States and other countries, or the availability or cost of materials, which could disrupt our supply chain.</w:t>
      </w:r>
    </w:p>
    <w:p>
      <w:pPr>
        <w:spacing w:after="0" w:line="7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management’s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ind w:right="100"/>
        <w:spacing w:after="0" w:line="276" w:lineRule="auto"/>
        <w:rPr>
          <w:sz w:val="20"/>
          <w:szCs w:val="20"/>
          <w:color w:val="auto"/>
        </w:rPr>
      </w:pPr>
      <w:r>
        <w:rPr>
          <w:rFonts w:ascii="Times New Roman" w:cs="Times New Roman" w:eastAsia="Times New Roman" w:hAnsi="Times New Roman"/>
          <w:sz w:val="18"/>
          <w:szCs w:val="18"/>
          <w:color w:val="auto"/>
        </w:rPr>
        <w:t>In addition, our preclinical studies and our ongoing TCR-T Library Phase 1/2 Trial at MD Anderson have been and may continue to be affected by the COVID-19 pandemic. Clinical site initiation, patient enrollment and activities that require visits to clinical sites, including data monitoring, have been and may continue to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if we are unable to successfully recruit and retain patients, principal investigators, and site staff who, as healthcare providers, may have heightened exposure to COVID-19 or experience additional restrictions by their institutions, city, or state, our clinical trial operations could be adversely impacted.</w:t>
      </w:r>
    </w:p>
    <w:p>
      <w:pPr>
        <w:spacing w:after="0" w:line="8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global COVID-19 pandemic continues to evolve rapidly. The ultimate impact of the COVID-19 pandemic or a similar epidemic is highly uncertain and subject to change. We may experience a material impact on our operations, and we continue to monitor the COVID-19 situation closely.</w:t>
      </w:r>
    </w:p>
    <w:p>
      <w:pPr>
        <w:spacing w:after="0" w:line="159" w:lineRule="exact"/>
        <w:rPr>
          <w:sz w:val="20"/>
          <w:szCs w:val="20"/>
          <w:color w:val="auto"/>
        </w:rPr>
      </w:pPr>
    </w:p>
    <w:p>
      <w:pPr>
        <w:ind w:right="780"/>
        <w:spacing w:after="0" w:line="318" w:lineRule="auto"/>
        <w:rPr>
          <w:sz w:val="20"/>
          <w:szCs w:val="20"/>
          <w:color w:val="auto"/>
        </w:rPr>
      </w:pPr>
      <w:r>
        <w:rPr>
          <w:rFonts w:ascii="Times New Roman" w:cs="Times New Roman" w:eastAsia="Times New Roman" w:hAnsi="Times New Roman"/>
          <w:sz w:val="18"/>
          <w:szCs w:val="18"/>
          <w:b w:val="1"/>
          <w:bCs w:val="1"/>
          <w:color w:val="auto"/>
        </w:rPr>
        <w:t>RISKS RELATED TO THE CLINICAL TESTING, GOVERNMENT REGULATION AND MANUFACTURING OF OUR PRODUCT CANDIDATES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3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including our ongoing TCR-T Library Phase 1/2 Trial, for a variety of reasons, including impacts that have resulted or may result from the COVID-19 pandemic. The timely completion 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84"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clinical trial investigators with the appropriate competencies and experience;</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44" w:lineRule="exact"/>
        <w:rPr>
          <w:rFonts w:ascii="Times New Roman" w:cs="Times New Roman" w:eastAsia="Times New Roman" w:hAnsi="Times New Roman"/>
          <w:sz w:val="18"/>
          <w:szCs w:val="18"/>
          <w:color w:val="auto"/>
        </w:rPr>
      </w:pPr>
    </w:p>
    <w:p>
      <w:pPr>
        <w:ind w:left="760" w:right="60" w:hanging="378"/>
        <w:spacing w:after="0" w:line="329"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the manufacturing and infusion of our product candidates or clinical trial completion.</w:t>
      </w:r>
    </w:p>
    <w:p>
      <w:pPr>
        <w:spacing w:after="0" w:line="4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some of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spacing w:after="0" w:line="80" w:lineRule="exact"/>
        <w:rPr>
          <w:sz w:val="20"/>
          <w:szCs w:val="20"/>
          <w:color w:val="auto"/>
        </w:rPr>
      </w:pPr>
    </w:p>
    <w:p>
      <w:pPr>
        <w:ind w:right="20"/>
        <w:spacing w:after="0" w:line="346" w:lineRule="auto"/>
        <w:rPr>
          <w:sz w:val="20"/>
          <w:szCs w:val="20"/>
          <w:color w:val="auto"/>
        </w:rPr>
      </w:pPr>
      <w:r>
        <w:rPr>
          <w:rFonts w:ascii="Times New Roman" w:cs="Times New Roman" w:eastAsia="Times New Roman" w:hAnsi="Times New Roman"/>
          <w:sz w:val="17"/>
          <w:szCs w:val="17"/>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ind w:right="56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3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7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31"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w:t>
      </w:r>
    </w:p>
    <w:p>
      <w:pPr>
        <w:spacing w:after="0" w:line="157" w:lineRule="exact"/>
        <w:rPr>
          <w:rFonts w:ascii="Times New Roman" w:cs="Times New Roman" w:eastAsia="Times New Roman" w:hAnsi="Times New Roman"/>
          <w:sz w:val="18"/>
          <w:szCs w:val="18"/>
          <w:color w:val="auto"/>
        </w:rPr>
      </w:pPr>
    </w:p>
    <w:p>
      <w:pPr>
        <w:ind w:left="760" w:right="680" w:hanging="378"/>
        <w:spacing w:after="0" w:line="31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4" w:lineRule="exact"/>
        <w:rPr>
          <w:rFonts w:ascii="Times New Roman" w:cs="Times New Roman" w:eastAsia="Times New Roman" w:hAnsi="Times New Roman"/>
          <w:sz w:val="18"/>
          <w:szCs w:val="18"/>
          <w:color w:val="auto"/>
        </w:rPr>
      </w:pPr>
    </w:p>
    <w:p>
      <w:pPr>
        <w:ind w:left="760" w:right="620" w:hanging="378"/>
        <w:spacing w:after="0" w:line="329"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40" w:lineRule="exact"/>
        <w:rPr>
          <w:rFonts w:ascii="Times New Roman" w:cs="Times New Roman" w:eastAsia="Times New Roman" w:hAnsi="Times New Roman"/>
          <w:sz w:val="18"/>
          <w:szCs w:val="18"/>
          <w:color w:val="auto"/>
        </w:rPr>
      </w:pPr>
    </w:p>
    <w:p>
      <w:pPr>
        <w:ind w:left="760" w:right="320" w:hanging="378"/>
        <w:spacing w:after="0" w:line="329"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40" w:lineRule="exact"/>
        <w:rPr>
          <w:rFonts w:ascii="Times New Roman" w:cs="Times New Roman" w:eastAsia="Times New Roman" w:hAnsi="Times New Roman"/>
          <w:sz w:val="18"/>
          <w:szCs w:val="18"/>
          <w:color w:val="auto"/>
        </w:rPr>
      </w:pPr>
    </w:p>
    <w:p>
      <w:pPr>
        <w:ind w:left="760" w:right="600" w:hanging="378"/>
        <w:spacing w:after="0" w:line="31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product candidate is safe and effective, and that the therapeutic product candidate’s clinical and other benefits outweigh its safety risks;</w:t>
      </w:r>
    </w:p>
    <w:p>
      <w:pPr>
        <w:spacing w:after="0" w:line="67" w:lineRule="exact"/>
        <w:rPr>
          <w:rFonts w:ascii="Times New Roman" w:cs="Times New Roman" w:eastAsia="Times New Roman" w:hAnsi="Times New Roman"/>
          <w:sz w:val="18"/>
          <w:szCs w:val="18"/>
          <w:color w:val="auto"/>
        </w:rPr>
      </w:pPr>
    </w:p>
    <w:p>
      <w:pPr>
        <w:ind w:left="760" w:hanging="378"/>
        <w:spacing w:after="0" w:line="31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our companion diagnostics are suitable to identify appropriate patient populations;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44" w:lineRule="exact"/>
        <w:rPr>
          <w:rFonts w:ascii="Times New Roman" w:cs="Times New Roman" w:eastAsia="Times New Roman" w:hAnsi="Times New Roman"/>
          <w:sz w:val="18"/>
          <w:szCs w:val="18"/>
          <w:color w:val="auto"/>
        </w:rPr>
      </w:pPr>
    </w:p>
    <w:p>
      <w:pPr>
        <w:ind w:left="760" w:right="360" w:hanging="378"/>
        <w:spacing w:after="0" w:line="305"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NDA, premarket approval, or PMA, or other submission or to obtain regulatory approval in the United States or elsewhere, and such authorities may impose requirements for additional preclinical studies or clinical trials;</w:t>
      </w:r>
    </w:p>
    <w:p>
      <w:pPr>
        <w:spacing w:after="0" w:line="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57" w:lineRule="exact"/>
        <w:rPr>
          <w:rFonts w:ascii="Times New Roman" w:cs="Times New Roman" w:eastAsia="Times New Roman" w:hAnsi="Times New Roman"/>
          <w:sz w:val="18"/>
          <w:szCs w:val="18"/>
          <w:color w:val="auto"/>
        </w:rPr>
      </w:pPr>
    </w:p>
    <w:p>
      <w:pPr>
        <w:ind w:left="760" w:right="60" w:hanging="378"/>
        <w:spacing w:after="0" w:line="31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54" w:lineRule="exact"/>
        <w:rPr>
          <w:rFonts w:ascii="Times New Roman" w:cs="Times New Roman" w:eastAsia="Times New Roman" w:hAnsi="Times New Roman"/>
          <w:sz w:val="18"/>
          <w:szCs w:val="18"/>
          <w:color w:val="auto"/>
        </w:rPr>
      </w:pPr>
    </w:p>
    <w:p>
      <w:pPr>
        <w:ind w:left="760" w:right="780" w:hanging="378"/>
        <w:spacing w:after="0" w:line="329"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40" w:lineRule="exact"/>
        <w:rPr>
          <w:rFonts w:ascii="Times New Roman" w:cs="Times New Roman" w:eastAsia="Times New Roman" w:hAnsi="Times New Roman"/>
          <w:sz w:val="18"/>
          <w:szCs w:val="18"/>
          <w:color w:val="auto"/>
        </w:rPr>
      </w:pPr>
    </w:p>
    <w:p>
      <w:pPr>
        <w:ind w:left="760" w:right="780" w:hanging="378"/>
        <w:spacing w:after="0" w:line="31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approval policies of such authorities may significantly change in a manner rendering our or any of our potential future collaborators’ clinical data insufficient for approval; or</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line="281"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w:t>
      </w:r>
    </w:p>
    <w:p>
      <w:pPr>
        <w:spacing w:after="0" w:line="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74" w:lineRule="exact"/>
        <w:rPr>
          <w:sz w:val="20"/>
          <w:szCs w:val="20"/>
          <w:color w:val="auto"/>
        </w:rPr>
      </w:pPr>
    </w:p>
    <w:p>
      <w:pPr>
        <w:jc w:val="both"/>
        <w:ind w:right="18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Our most advanced product candidates are only in an early-stage clinical trial, which is very expensive and time-consuming. We cannot be certain when we will be able to submit a BLA to the FDA and any failure or delay in completing clinical trials for our product candidates could harm our business.</w:t>
      </w:r>
    </w:p>
    <w:p>
      <w:pPr>
        <w:spacing w:after="0" w:line="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product candidates are in various stages of development and require extensive clinical testing. Our most advanced product candidates are in our TCR-T Library Phase 1/2 Trial, which is currently enrolling patients. Human clinical trials are very expensive and difficult to design, initiate and implement, in part because they are subject to rigorous regulatory requirements. Notwithstanding our current clinical trial plans for each of our existing product candidates, which we estimate will take several years to complete, we may not be able to commence additional trials or see results from these trials within our anticipated timelines. Failure can occur at any stage of a clinical trial, and we can encounter problems that cause us to delay the start of, abandon or repeat clinical trials. Some factors which may lead to a delay in the commencement or completion of our clinical trials include: requests for additional nonclinical data from regulators, unforeseen safety issues, dosing issues, lack of effectiveness during clinical trials, difficulty recruiting or monitoring patients, difficulty manufacturing clinical products, among other factors.</w:t>
      </w:r>
    </w:p>
    <w:p>
      <w:pPr>
        <w:spacing w:after="0" w:line="87"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As they enter later stages of development, our product candidates generally will become subject to more stringent regulatory requirements, including the FDA’s requirements for chemistry, manufacturing and controls for product candidates entering Phase 3 clinical trials. There is no guarantee the FDA will allow us to commence Phase 3 clinical trials for product candidates studied in earlier clinical trials.</w:t>
      </w:r>
    </w:p>
    <w:p>
      <w:pPr>
        <w:spacing w:after="0" w:line="8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If the FDA does not allow our product candidates to enter later stage clinical trials or requires changes to the formulation or manufacture of our product candidates before commencing Phase 3 clinical trials, our ability to further develop, or seek approval for, such product candidates may be materially impacted. As such, we cannot predict with any certainty if or when we might submit a BLA for regulatory approval of our product candidates or whether such a BLA will be accepted. Because we do not anticipate generating revenues unless and until we submit one or more BLAs and thereafter obtain requisite FDA approvals, the timing of our BLA submissions and FDA determinations regarding approval thereof will directly affect if and when we are able to generate revenues.</w:t>
      </w:r>
    </w:p>
    <w:p>
      <w:pPr>
        <w:spacing w:after="0" w:line="193"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As with many pharmaceutical and biological products, treatment with our product candidates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The FDA or other foreign regulatory authorities could order us to cease further development of or deny approval of our product candidates for any or all targeted indications. If a serious adverse event was to occur in our TCR-T Library Phase 1/2 Trial, the FDA may place a hold on the clinical trial.</w:t>
      </w:r>
    </w:p>
    <w:p>
      <w:pPr>
        <w:spacing w:after="0" w:line="8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product-related side effects could affect patient recruitment or the ability of enrolled patients to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We expect to have to train medical personnel using our product candidates to understand their side effect profiles, both for our planned clinical trials and upon any commercialization of any product candidates. Inadequate training in recognizing or managing the potential side effects of our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ind w:right="300"/>
        <w:spacing w:after="0" w:line="281" w:lineRule="auto"/>
        <w:rPr>
          <w:sz w:val="20"/>
          <w:szCs w:val="20"/>
          <w:color w:val="auto"/>
        </w:rPr>
      </w:pPr>
      <w:r>
        <w:rPr>
          <w:rFonts w:ascii="Times New Roman" w:cs="Times New Roman" w:eastAsia="Times New Roman" w:hAnsi="Times New Roman"/>
          <w:sz w:val="18"/>
          <w:szCs w:val="18"/>
          <w:color w:val="auto"/>
        </w:rPr>
        <w:t>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candidates, a number of potentially significant negative consequences could result, including:</w:t>
      </w:r>
    </w:p>
    <w:p>
      <w:pPr>
        <w:spacing w:after="0" w:line="8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144" w:lineRule="exact"/>
        <w:rPr>
          <w:rFonts w:ascii="Times New Roman" w:cs="Times New Roman" w:eastAsia="Times New Roman" w:hAnsi="Times New Roman"/>
          <w:sz w:val="18"/>
          <w:szCs w:val="18"/>
          <w:color w:val="auto"/>
        </w:rPr>
      </w:pPr>
    </w:p>
    <w:p>
      <w:pPr>
        <w:ind w:left="760" w:right="240" w:hanging="378"/>
        <w:spacing w:after="0" w:line="329"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44"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7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cell-based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including the DNA plasmids used, which are used as the vector to insert our TCRs into human T cells. Some of these suppliers may not have the capacity to support commercial products manufactured under current good manufacturing practices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7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some of these reagents, equipment, infrastructure,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7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 addition, some of the reagents and products used by us, including in our clinical trials, may be stored at a single vendor. The loss of materials located at a single vendor, or the failure of such a vendor to manufacture clinical product in accordance with our specifications, would impact our ability to conduct ongoing or planned clinical trials and continue the development of our products. Further, manufacturing replacement material may be expensive and require a significant amount of time, which may further impact our clinical programs.</w:t>
      </w:r>
    </w:p>
    <w:p>
      <w:pPr>
        <w:spacing w:after="0" w:line="7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color w:val="auto"/>
        </w:rPr>
        <w:t>As we continue to develop and scale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ind w:right="8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at least in part, upon clinical research institutions and other CROs for clinical testing and/or for research and development activities, the results of our clinical trials and such research activities are, to a certain extent, beyond our control.</w:t>
      </w:r>
    </w:p>
    <w:p>
      <w:pPr>
        <w:spacing w:after="0" w:line="3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We materially rely upon independent investigators and collaborators, such as universities and medical institutions, to conduct our clinical trials under agreements with us. In addition, we hire CROs to help us manage clinical trials, collect data and analyze clinical samples.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 development programs, or if their performance is substandard, the approval of our FDA applications, if any, and our introduction of new products, if any, will be delayed. These institutions may also have, or implement in the future, policies and procedures that limit their ability to advance our programs. These collaborators may also have relationships with other commercial entities, some of whom may compete with us. If our collaborators assist our competitors to our detriment, our competitive position would be harmed.</w:t>
      </w:r>
    </w:p>
    <w:p>
      <w:pPr>
        <w:spacing w:after="0" w:line="19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our clinical trials.</w:t>
      </w:r>
    </w:p>
    <w:p>
      <w:pPr>
        <w:spacing w:after="0" w:line="5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have limited experience in biopharmaceutical manufacturing. We recently began manufacturing our product candidates at our in-house cGMP manufacturing facility at our leased headquarters in Houston, Texas. Our ability to manufacture our product candidates depends on our finding and retaining personnel with the appropriate background and training to staff and operate the facility on a daily basis. Should we be unable to find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7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While we have developed our own manufacturing processes using an in-house team, there is timing risk associated with increased in-house product manufacture.</w:t>
      </w:r>
    </w:p>
    <w:p>
      <w:pPr>
        <w:spacing w:after="0" w:line="8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w:t>
      </w:r>
    </w:p>
    <w:p>
      <w:pPr>
        <w:spacing w:after="0" w:line="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product candidates currently are and will continue to be manufactured on a patient-by-patient basis. Delays in manufacturing could adversely impact the treatment of each patient and may discourage participation in our current or future clinical trials. We have not yet manufactured our clinical trial product candidates on a large scale and may not be able to achieve large scale clinical trial or commercial manufacturing and processing on our own to satisfy expected clinical trial or commercial demands for any of our product candidates. While we believe that our current manufacturing and processing approaches are appropriate to support our early-stage clinical product development, we have limited experience in managing the T cell engineering process, and our processes may be more difficult or more expensive than anticipated. The manufacturing processes employed by us may not result in product candidates that will be safe and effective. If we are unable to manufacture sufficient number of TCR-T cells for our product candidates, our development efforts would be delayed, which would adversely affect our business and prospects.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manufacturing operations will be subject to review and oversight by the FDA upon commencement of the manufacturing of our product candidates for our TCR-T Library Phase 1/2 Trial. We will be subject to ongoing periodic unannounced inspection by the FDA, the Drug Enforcement Administration and corresponding state agencies to ensure strict compliance with current good manufacturing practices, or cGMP, and other government regulations. Our license to manufacture product candidates will be subject to continued regulatory review.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right="140"/>
        <w:spacing w:after="0" w:line="289"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6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w:t>
      </w:r>
    </w:p>
    <w:p>
      <w:pPr>
        <w:spacing w:after="0" w:line="62"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In addition, it is possible that we could experience manufacturing difficulties in the future due to resource constraints or because of labor disputes. If we were to encounter any of these difficulties, our ability to provide our product candidates to patients could be materially adversely affected.</w:t>
      </w:r>
    </w:p>
    <w:p>
      <w:pPr>
        <w:spacing w:after="0" w:line="145" w:lineRule="exact"/>
        <w:rPr>
          <w:sz w:val="20"/>
          <w:szCs w:val="20"/>
          <w:color w:val="auto"/>
        </w:rPr>
      </w:pPr>
    </w:p>
    <w:p>
      <w:pPr>
        <w:ind w:right="7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validating our manufacturing process as we manufacture our product candidates from an increasingly diverse patient population for our clinical trials.</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our development of the manufacturing process, our TCR-T cell product candidates have demonstrated consistency from lot to lot and from donor to donor. However, our sample size is small and the starting material used during our development work came from healthy donors. Once we have experience with working with white blood cells taken from our patient population, we may encounter unforeseen difficulties due to starting with material from donors who are not healthy, including challenges inherent in harvesting white blood cells from unhealthy patients.</w:t>
      </w:r>
    </w:p>
    <w:p>
      <w:pPr>
        <w:spacing w:after="0" w:line="7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Although we believe our current manufacturing process is scalable for our clinical trials, and if our any of our product candidates are approved or commercialized, we may encounter challenges in validating our process due to the heterogeneity of the product starting material. However, we anticipate that during the early phases of our clinical trials we will be able to adapt our process to account for these differences resulting in a more robust process. We cannot guarantee that any other issues relating to the heterogeneity of the starting material will not impact our ability to commercially manufacturing our product candidates.</w:t>
      </w:r>
    </w:p>
    <w:p>
      <w:pPr>
        <w:spacing w:after="0" w:line="192"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gene transfer vectors from our Sleeping Beauty system used to manufacture our product candidates may incorrectly modify the genetic material of a patient’s T cells, potentially triggering the development of a new cancer or other adverse events.</w:t>
      </w:r>
    </w:p>
    <w:p>
      <w:pPr>
        <w:spacing w:after="0" w:line="4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 xml:space="preserve">Our TCR-T cells are manufactured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 non-viral vector to insert genetic information encoding the TCR construct into the patient’s T cells. The TCR construct is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 non-viral vectors to insert genetic information into T cells, which we believe have a lower risk of insertional oncogenesis as opposed to viral vectors. However, the risk of insertional oncogenesis remains a concern for gene therapy, and we cannot assure that it will not occur in any of our ongoing or planned clinical trials. There is also the potential risk of delayed adverse events following exposure to gene therapy products due to persistent biological activity of the genetic material or other components of the vectors used to carry the genetic material. Although we use non-viral vectors, the FDA has stated that lentiviral vectors possess characteristics that may pose high risks of delayed adverse events. If any such adverse events occur from our non-viral vector, further advancement of our preclinical studies or clinical trials could be halted or delayed, which would have a material adverse effect on our business and operations.</w:t>
      </w:r>
    </w:p>
    <w:p>
      <w:pPr>
        <w:spacing w:after="0" w:line="18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5" w:name="page46"/>
    <w:bookmarkEnd w:id="45"/>
    <w:p>
      <w:pPr>
        <w:ind w:right="900"/>
        <w:spacing w:after="0" w:line="313" w:lineRule="auto"/>
        <w:rPr>
          <w:sz w:val="20"/>
          <w:szCs w:val="20"/>
          <w:color w:val="auto"/>
        </w:rPr>
      </w:pPr>
      <w:r>
        <w:rPr>
          <w:rFonts w:ascii="Times New Roman" w:cs="Times New Roman" w:eastAsia="Times New Roman" w:hAnsi="Times New Roman"/>
          <w:sz w:val="18"/>
          <w:szCs w:val="18"/>
          <w:color w:val="auto"/>
        </w:rPr>
        <w:t>REMS, which could include requirements for a restricted distribution system. If any of our product candidates receives marketing approval, the accompanying label may limit the approved uses, which could limit sales of the product.</w:t>
      </w:r>
    </w:p>
    <w:p>
      <w:pPr>
        <w:spacing w:after="0" w:line="4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75" w:lineRule="exact"/>
        <w:rPr>
          <w:sz w:val="20"/>
          <w:szCs w:val="20"/>
          <w:color w:val="auto"/>
        </w:rPr>
      </w:pPr>
    </w:p>
    <w:p>
      <w:pPr>
        <w:ind w:right="460"/>
        <w:spacing w:after="0" w:line="313"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41"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4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ABILITY TO COMMERCIALIZE OUR PRODUCT CANDIDATES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the necessary U.S. or worldwide regulatory approvals to commercialize any product candidate, our business will suffer.</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right="60"/>
        <w:spacing w:after="0" w:line="281" w:lineRule="auto"/>
        <w:rPr>
          <w:sz w:val="20"/>
          <w:szCs w:val="20"/>
          <w:color w:val="auto"/>
        </w:rPr>
      </w:pPr>
      <w:r>
        <w:rPr>
          <w:rFonts w:ascii="Times New Roman" w:cs="Times New Roman" w:eastAsia="Times New Roman" w:hAnsi="Times New Roman"/>
          <w:sz w:val="18"/>
          <w:szCs w:val="18"/>
          <w:color w:val="auto"/>
        </w:rPr>
        <w:t>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71"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144"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one or more of our BLAs. We cannot be sure that we will ever obtain regulatory approval for any of our product candidates.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70" w:lineRule="exact"/>
        <w:rPr>
          <w:sz w:val="20"/>
          <w:szCs w:val="20"/>
          <w:color w:val="auto"/>
        </w:rPr>
      </w:pPr>
    </w:p>
    <w:p>
      <w:pPr>
        <w:jc w:val="both"/>
        <w:ind w:right="660"/>
        <w:spacing w:after="0" w:line="313" w:lineRule="auto"/>
        <w:rPr>
          <w:sz w:val="20"/>
          <w:szCs w:val="20"/>
          <w:color w:val="auto"/>
        </w:rPr>
      </w:pPr>
      <w:r>
        <w:rPr>
          <w:rFonts w:ascii="Times New Roman" w:cs="Times New Roman" w:eastAsia="Times New Roman" w:hAnsi="Times New Roman"/>
          <w:sz w:val="18"/>
          <w:szCs w:val="18"/>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45"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6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If, and when we become reasonably certain that we will be able to commercialize our current or future product candidates, we anticipate allocating resources to the marketing, sales and distribution of our proposed products in North America and in certain other countries;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8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70" w:lineRule="exact"/>
        <w:rPr>
          <w:sz w:val="20"/>
          <w:szCs w:val="20"/>
          <w:color w:val="auto"/>
        </w:rPr>
      </w:pPr>
    </w:p>
    <w:p>
      <w:pPr>
        <w:ind w:left="5540" w:right="5340" w:hanging="5158"/>
        <w:spacing w:after="0" w:line="417" w:lineRule="auto"/>
        <w:tabs>
          <w:tab w:leader="none" w:pos="76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approved;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 and cost-effectiveness of our products relative to competing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adequate reimbursement for our products from government or other third-party payors;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distribution efforts by us and our licensees and distributors, if any;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sell our products.</w:t>
      </w:r>
    </w:p>
    <w:p>
      <w:pPr>
        <w:spacing w:after="0" w:line="144"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7"/>
          <w:szCs w:val="17"/>
          <w:color w:val="auto"/>
        </w:rPr>
        <w:t>Because we expect sales of our current product candidates, if approved, to generate substantially all of our product revenues for the foreseeable future, the failure of a product to find market acceptance would harm our business and could require us to seek additional financing in order to fund the development of future product candidates.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product revenues will be diminished if our products do not obtain coverage and adequate reimbursement from payors.</w:t>
      </w:r>
    </w:p>
    <w:p>
      <w:pPr>
        <w:spacing w:after="0" w:line="14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8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8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requires us to provide scientific and clinical support for the use of our products to each payor separately, with no assurance that approval will be obtained. If we are unable to obtain coverage of and adequate payment levels for our product candidates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7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or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right="40"/>
        <w:spacing w:after="0" w:line="281" w:lineRule="auto"/>
        <w:rPr>
          <w:sz w:val="20"/>
          <w:szCs w:val="20"/>
          <w:color w:val="auto"/>
        </w:rPr>
      </w:pPr>
      <w:r>
        <w:rPr>
          <w:rFonts w:ascii="Times New Roman" w:cs="Times New Roman" w:eastAsia="Times New Roman" w:hAnsi="Times New Roman"/>
          <w:sz w:val="18"/>
          <w:szCs w:val="18"/>
          <w:color w:val="auto"/>
        </w:rPr>
        <w:t>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8"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73"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8"/>
          <w:szCs w:val="18"/>
          <w:color w:val="auto"/>
        </w:rPr>
        <w:t>Subsequently, for those products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6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4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 that seek to reduce healthcare costs. Most significantly, in March 2010, President Obama signed into law the Patient Protection and Affordable Care Act, as amended by the Health Care and Education Reconciliation Act, or collectively the ACA, which included measures that have significantly changed the way healthcare is financed by both governmental and private insurers. Among the provisions of the ACA of importance to the pharmaceutical industry are the following:</w:t>
      </w:r>
    </w:p>
    <w:p>
      <w:pPr>
        <w:spacing w:after="0" w:line="84" w:lineRule="exact"/>
        <w:rPr>
          <w:sz w:val="20"/>
          <w:szCs w:val="20"/>
          <w:color w:val="auto"/>
        </w:rPr>
      </w:pPr>
    </w:p>
    <w:p>
      <w:pPr>
        <w:ind w:left="760" w:right="720" w:hanging="378"/>
        <w:spacing w:after="0" w:line="313"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certain branded prescription drugs and biologic agents, apportioned among these entities according to their market share in certain government healthcare programs;</w:t>
      </w:r>
    </w:p>
    <w:p>
      <w:pPr>
        <w:spacing w:after="0" w:line="54" w:lineRule="exact"/>
        <w:rPr>
          <w:rFonts w:ascii="Times New Roman" w:cs="Times New Roman" w:eastAsia="Times New Roman" w:hAnsi="Times New Roman"/>
          <w:sz w:val="18"/>
          <w:szCs w:val="18"/>
          <w:color w:val="auto"/>
        </w:rPr>
      </w:pPr>
    </w:p>
    <w:p>
      <w:pPr>
        <w:ind w:left="760" w:right="220" w:hanging="378"/>
        <w:spacing w:after="0" w:line="329"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statutory minimum rebates a manufacturer must pay under the Medicaid Drug Rebate Program to 23.1% and 13% of the average manufacturer price for most branded and generic drugs, respectively;</w:t>
      </w:r>
    </w:p>
    <w:p>
      <w:pPr>
        <w:spacing w:after="0" w:line="40" w:lineRule="exact"/>
        <w:rPr>
          <w:rFonts w:ascii="Times New Roman" w:cs="Times New Roman" w:eastAsia="Times New Roman" w:hAnsi="Times New Roman"/>
          <w:sz w:val="18"/>
          <w:szCs w:val="18"/>
          <w:color w:val="auto"/>
        </w:rPr>
      </w:pPr>
    </w:p>
    <w:p>
      <w:pPr>
        <w:ind w:left="760" w:right="40" w:hanging="378"/>
        <w:spacing w:after="0" w:line="30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1" w:lineRule="exact"/>
        <w:rPr>
          <w:rFonts w:ascii="Times New Roman" w:cs="Times New Roman" w:eastAsia="Times New Roman" w:hAnsi="Times New Roman"/>
          <w:sz w:val="18"/>
          <w:szCs w:val="18"/>
          <w:color w:val="auto"/>
        </w:rPr>
      </w:pPr>
    </w:p>
    <w:p>
      <w:pPr>
        <w:ind w:left="760" w:right="620" w:hanging="378"/>
        <w:spacing w:after="0" w:line="329"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manufacturers’ Medicaid rebate liability to covered drugs dispensed to individuals who are enrolled in Medicaid managed care organizations;</w:t>
      </w:r>
    </w:p>
    <w:p>
      <w:pPr>
        <w:spacing w:after="0" w:line="40" w:lineRule="exact"/>
        <w:rPr>
          <w:rFonts w:ascii="Times New Roman" w:cs="Times New Roman" w:eastAsia="Times New Roman" w:hAnsi="Times New Roman"/>
          <w:sz w:val="18"/>
          <w:szCs w:val="18"/>
          <w:color w:val="auto"/>
        </w:rPr>
      </w:pPr>
    </w:p>
    <w:p>
      <w:pPr>
        <w:ind w:left="760" w:right="100" w:hanging="378"/>
        <w:spacing w:after="0" w:line="313"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methodologies by which rebates owed by manufacturers under the Medicaid Drug Rebate Program are calculated for drugs that are inhaled, infused, instilled, implanted or injected, and for drugs that are line extensions;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w:t>
      </w:r>
    </w:p>
    <w:p>
      <w:pPr>
        <w:spacing w:after="0" w:line="49" w:lineRule="exact"/>
        <w:rPr>
          <w:rFonts w:ascii="Times New Roman" w:cs="Times New Roman" w:eastAsia="Times New Roman" w:hAnsi="Times New Roman"/>
          <w:sz w:val="18"/>
          <w:szCs w:val="18"/>
          <w:color w:val="auto"/>
        </w:rPr>
      </w:pPr>
    </w:p>
    <w:p>
      <w:pPr>
        <w:ind w:left="760" w:right="6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income at or below 133% of the Federal Poverty Level, thereby potentially increasing both the volume of sales and manufacturers’ Medicaid rebate liability;</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Public Health Service pharmaceutical pricing program;</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requirement to annually report drug samples that certain manufacturers and authorized distributors provide to physicians;</w:t>
      </w:r>
    </w:p>
    <w:p>
      <w:pPr>
        <w:spacing w:after="0" w:line="144" w:lineRule="exact"/>
        <w:rPr>
          <w:rFonts w:ascii="Times New Roman" w:cs="Times New Roman" w:eastAsia="Times New Roman" w:hAnsi="Times New Roman"/>
          <w:sz w:val="18"/>
          <w:szCs w:val="18"/>
          <w:color w:val="auto"/>
        </w:rPr>
      </w:pPr>
    </w:p>
    <w:p>
      <w:pPr>
        <w:ind w:left="760" w:right="60" w:hanging="378"/>
        <w:spacing w:after="0" w:line="32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healthcare fraud and abuse laws, including the False Claims Act and the federal Anti-Kickback Statute, new government investigative powers, and enhanced penalties for noncompliance;</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licensure framework for follow-on biologic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requirements under the federal Physician Payments Sunshine Act for certain drug manufacturers to annually report information</w:t>
      </w:r>
    </w:p>
    <w:p>
      <w:pPr>
        <w:spacing w:after="0" w:line="49" w:lineRule="exact"/>
        <w:rPr>
          <w:rFonts w:ascii="Times New Roman" w:cs="Times New Roman" w:eastAsia="Times New Roman" w:hAnsi="Times New Roman"/>
          <w:sz w:val="18"/>
          <w:szCs w:val="18"/>
          <w:color w:val="auto"/>
        </w:rPr>
      </w:pPr>
    </w:p>
    <w:p>
      <w:pPr>
        <w:ind w:left="760" w:right="4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payments and other transfers of value made to physicians, as defined by such law, and teaching hospitals as well as ownership or investment interests held by physicians and their immediate family members;</w:t>
      </w:r>
    </w:p>
    <w:p>
      <w:pPr>
        <w:spacing w:after="0" w:line="67" w:lineRule="exact"/>
        <w:rPr>
          <w:rFonts w:ascii="Times New Roman" w:cs="Times New Roman" w:eastAsia="Times New Roman" w:hAnsi="Times New Roman"/>
          <w:sz w:val="18"/>
          <w:szCs w:val="18"/>
          <w:color w:val="auto"/>
        </w:rPr>
      </w:pPr>
    </w:p>
    <w:p>
      <w:pPr>
        <w:ind w:left="760" w:right="640" w:hanging="378"/>
        <w:spacing w:after="0" w:line="31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Patient-Centered Outcomes Research Institute to oversee, identify priorities in, and conduct comparative clinical effectiveness research, along with funding for such research; and</w:t>
      </w:r>
    </w:p>
    <w:p>
      <w:pPr>
        <w:spacing w:after="0" w:line="54" w:lineRule="exact"/>
        <w:rPr>
          <w:rFonts w:ascii="Times New Roman" w:cs="Times New Roman" w:eastAsia="Times New Roman" w:hAnsi="Times New Roman"/>
          <w:sz w:val="18"/>
          <w:szCs w:val="18"/>
          <w:color w:val="auto"/>
        </w:rPr>
      </w:pPr>
    </w:p>
    <w:p>
      <w:pPr>
        <w:ind w:left="760" w:right="40" w:hanging="378"/>
        <w:spacing w:after="0" w:line="32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4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Cuts and Jobs Act of 2017, or the Tax Act. On June 17, 2021, the U.S. Supreme Court dismissed a challenge on procedural grounds that argued that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care coverage through the ACA marketplace, which began on February 21,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8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right="40"/>
        <w:spacing w:after="0" w:line="273" w:lineRule="auto"/>
        <w:rPr>
          <w:sz w:val="20"/>
          <w:szCs w:val="20"/>
          <w:color w:val="auto"/>
        </w:rPr>
      </w:pPr>
      <w:r>
        <w:rPr>
          <w:rFonts w:ascii="Times New Roman" w:cs="Times New Roman" w:eastAsia="Times New Roman" w:hAnsi="Times New Roman"/>
          <w:sz w:val="18"/>
          <w:szCs w:val="18"/>
          <w:color w:val="auto"/>
        </w:rPr>
        <w:t>the implementation of which have also been delayed until January 2023. On November 20, 2020,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August 10, 2021, CMS published a proposed rule that seeks to rescind the MFN model interim rule.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additional governmental action is taken in response to the COVID-19 pandemic.</w:t>
      </w:r>
    </w:p>
    <w:p>
      <w:pPr>
        <w:spacing w:after="0" w:line="13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if we receive regulatory approval, commercialize our products.</w:t>
      </w:r>
    </w:p>
    <w:p>
      <w:pPr>
        <w:spacing w:after="0" w:line="174"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6"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57" w:lineRule="exact"/>
        <w:rPr>
          <w:sz w:val="20"/>
          <w:szCs w:val="20"/>
          <w:color w:val="auto"/>
        </w:rPr>
      </w:pPr>
    </w:p>
    <w:p>
      <w:pPr>
        <w:ind w:left="760" w:right="140" w:hanging="378"/>
        <w:spacing w:after="0" w:line="24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6"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9"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61" w:lineRule="exact"/>
        <w:rPr>
          <w:rFonts w:ascii="Times New Roman" w:cs="Times New Roman" w:eastAsia="Times New Roman" w:hAnsi="Times New Roman"/>
          <w:sz w:val="18"/>
          <w:szCs w:val="18"/>
          <w:color w:val="auto"/>
        </w:rPr>
      </w:pPr>
    </w:p>
    <w:p>
      <w:pPr>
        <w:ind w:left="760" w:right="20" w:hanging="378"/>
        <w:spacing w:after="0" w:line="264"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Information Technology for Economic and Clinical Health Act of 2009, or 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72" w:lineRule="exact"/>
        <w:rPr>
          <w:rFonts w:ascii="Times New Roman" w:cs="Times New Roman" w:eastAsia="Times New Roman" w:hAnsi="Times New Roman"/>
          <w:sz w:val="17"/>
          <w:szCs w:val="17"/>
          <w:color w:val="auto"/>
        </w:rPr>
      </w:pPr>
    </w:p>
    <w:p>
      <w:pPr>
        <w:ind w:left="760" w:right="100" w:hanging="378"/>
        <w:spacing w:after="0" w:line="25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Physician Payments Sunshine Act to report annually to CMS certain financial arrangements with physicians (defined to include doctors, dentists, optometrists, podiatrists and chiropractors) and teaching hospitals, as defined in the ACA and its implementing regulations, including reporting any “transfer of value” made or distributed to teaching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left="760" w:right="180"/>
        <w:spacing w:after="0" w:line="250" w:lineRule="auto"/>
        <w:rPr>
          <w:sz w:val="20"/>
          <w:szCs w:val="20"/>
          <w:color w:val="auto"/>
        </w:rPr>
      </w:pPr>
      <w:r>
        <w:rPr>
          <w:rFonts w:ascii="Times New Roman" w:cs="Times New Roman" w:eastAsia="Times New Roman" w:hAnsi="Times New Roman"/>
          <w:sz w:val="18"/>
          <w:szCs w:val="18"/>
          <w:color w:val="auto"/>
        </w:rPr>
        <w:t>hospitals, and physicians, as defined by such law and reporting any ownership and investment interests held by physicians and their immediate family members and applicable group purchasing organizations during the preceding calendar year, which will be expanded beginning in 2022, to require applicable manufacturers to report such information regarding its payments and other transfers of value made to physician assistants, nurse practitioners, clinical nurse specialists, anesthesiologist assistants, certified registered nurse anesthetists and certified nurse midwives during the previous year; and</w:t>
      </w:r>
    </w:p>
    <w:p>
      <w:pPr>
        <w:spacing w:after="0" w:line="69" w:lineRule="exact"/>
        <w:rPr>
          <w:sz w:val="20"/>
          <w:szCs w:val="20"/>
          <w:color w:val="auto"/>
        </w:rPr>
      </w:pPr>
    </w:p>
    <w:p>
      <w:pPr>
        <w:ind w:left="760" w:right="40" w:hanging="378"/>
        <w:spacing w:after="0" w:line="243"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9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including our consulting agreements with physicians, some of whom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any of our product candidates is ultimately sold in a foreign country, we may be subject to similar foreign laws and regulations.</w:t>
      </w:r>
    </w:p>
    <w:p>
      <w:pPr>
        <w:spacing w:after="0" w:line="13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product candidates may face competition in the future from biosimilars and/or new technologies.</w:t>
      </w:r>
    </w:p>
    <w:p>
      <w:pPr>
        <w:spacing w:after="0" w:line="14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93"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ind w:right="180"/>
        <w:spacing w:after="0" w:line="281" w:lineRule="auto"/>
        <w:rPr>
          <w:sz w:val="20"/>
          <w:szCs w:val="20"/>
          <w:color w:val="auto"/>
        </w:rPr>
      </w:pPr>
      <w:r>
        <w:rPr>
          <w:rFonts w:ascii="Times New Roman" w:cs="Times New Roman" w:eastAsia="Times New Roman" w:hAnsi="Times New Roman"/>
          <w:sz w:val="18"/>
          <w:szCs w:val="18"/>
          <w:color w:val="auto"/>
        </w:rPr>
        <w:t>In the ordinary course of our business, we, our contract research organizations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In addition, due to the COVID-19 pandemic, we have enabled many of our employees to work remotely, which may make us more vulnerable to cyberattacks.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our business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31" w:lineRule="exact"/>
        <w:rPr>
          <w:sz w:val="20"/>
          <w:szCs w:val="20"/>
          <w:color w:val="auto"/>
        </w:rPr>
      </w:pPr>
    </w:p>
    <w:p>
      <w:pPr>
        <w:ind w:right="6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w:t>
      </w:r>
    </w:p>
    <w:p>
      <w:pPr>
        <w:spacing w:after="0" w:line="8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 xml:space="preserve">To date, we have exclusive rights in the field of cancer treatment to certain U.S. and foreign intellectual property with respect to certain cell therapy and related technologies from MD Anderson and NCI, as well as with respect to the PGEN technology, including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Under the MD Anderson License, future patent applications require the agreement of each of MD Anderson, PGEN and us, and MD Anderson has the right to control the preparation, filing, and prosecution of such patent applications unless the parties agree that we or PGEN instead may control such activities. Although under the agreement MD Anderson has agreed to review and incorporate any reasonable comments that we or PGEN may have regarding licensed patents and patent applications, we cannot guarantee that our comments will be solicited or followed.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followed. Under our License Agreement with PGEN, PGEN has the right, but not the obligation, to prepare, file, prosecute, and maintain the patents and patent applications licensed to us and shall bear all related costs incurred by it in regard to those actions. PGEN is required to consult with us and keep us reasonably informed of the status of the patents and patent applications licensed to us, and to confer with us prior to submitting any related filings and correspondence. Although under the License Agreement PGEN has agreed to consider in good faith</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ind w:right="100"/>
        <w:spacing w:after="0" w:line="301" w:lineRule="auto"/>
        <w:rPr>
          <w:sz w:val="20"/>
          <w:szCs w:val="20"/>
          <w:color w:val="auto"/>
        </w:rPr>
      </w:pPr>
      <w:r>
        <w:rPr>
          <w:rFonts w:ascii="Times New Roman" w:cs="Times New Roman" w:eastAsia="Times New Roman" w:hAnsi="Times New Roman"/>
          <w:sz w:val="18"/>
          <w:szCs w:val="18"/>
          <w:color w:val="auto"/>
        </w:rPr>
        <w:t>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PGEN, as applicable, to keep us advised of prosecution, particularly in foreign jurisdictions where prosecution information may not be publicly available. We anticipate that we, MD Anderson, the NCI and PGEN will file additional patent applications both in the United States and in other jurisdictions. However, we cannot predict or guarantee for either our in-licensed patent portfolios or for Alaunos’ patent portfolio:</w:t>
      </w:r>
    </w:p>
    <w:p>
      <w:pPr>
        <w:spacing w:after="0" w:line="79"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if at all, any patents will be granted on such applications;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that any patents, if obtained, will afford us against competitors;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third parties will not find ways to invalidate and/or circumvent our patents, if obtained;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others will not obtain patents claiming subject matter related to or relevant to our product candidates; or</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not need to initiate litigation and/or administrative proceedings that may be costly whether we win or lose.</w:t>
      </w:r>
    </w:p>
    <w:p>
      <w:pPr>
        <w:spacing w:after="0" w:line="15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8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7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NCI or PGEN may limit the scope of later patents we obtain, if any. If third parties file or have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4" w:name="page55"/>
    <w:bookmarkEnd w:id="54"/>
    <w:p>
      <w:pPr>
        <w:jc w:val="both"/>
        <w:ind w:right="160"/>
        <w:spacing w:after="0" w:line="289" w:lineRule="auto"/>
        <w:rPr>
          <w:sz w:val="20"/>
          <w:szCs w:val="20"/>
          <w:color w:val="auto"/>
        </w:rPr>
      </w:pPr>
      <w:r>
        <w:rPr>
          <w:rFonts w:ascii="Times New Roman" w:cs="Times New Roman" w:eastAsia="Times New Roman" w:hAnsi="Times New Roman"/>
          <w:sz w:val="18"/>
          <w:szCs w:val="18"/>
          <w:color w:val="auto"/>
        </w:rPr>
        <w:t>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62"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8"/>
          <w:szCs w:val="18"/>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our business and competitive position would be harmed.</w:t>
      </w:r>
    </w:p>
    <w:p>
      <w:pPr>
        <w:spacing w:after="0" w:line="1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83" w:lineRule="exact"/>
        <w:rPr>
          <w:sz w:val="20"/>
          <w:szCs w:val="20"/>
          <w:color w:val="auto"/>
        </w:rPr>
      </w:pPr>
    </w:p>
    <w:p>
      <w:pPr>
        <w:ind w:right="4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3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7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spacing w:after="0" w:line="281" w:lineRule="auto"/>
        <w:rPr>
          <w:sz w:val="20"/>
          <w:szCs w:val="20"/>
          <w:color w:val="auto"/>
        </w:rPr>
      </w:pPr>
      <w:r>
        <w:rPr>
          <w:rFonts w:ascii="Times New Roman" w:cs="Times New Roman" w:eastAsia="Times New Roman" w:hAnsi="Times New Roman"/>
          <w:sz w:val="18"/>
          <w:szCs w:val="18"/>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84"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license from MD Anderson, NCI and PGEN is early-stage technology, and we are in the process of designing and developing products using this technology. Although we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7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8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83"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59" w:lineRule="exact"/>
        <w:rPr>
          <w:sz w:val="20"/>
          <w:szCs w:val="20"/>
          <w:color w:val="auto"/>
        </w:rPr>
      </w:pPr>
    </w:p>
    <w:p>
      <w:pPr>
        <w:jc w:val="both"/>
        <w:ind w:right="56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8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license rights to products and technology that are important to our business, and we expect to enter into additional licenses in the future. For instance, we have in-licensed patents and patent applications under our MD Anderson License, our license agreement with the NCI, and our license agreement with PGEN. Under these agreements, we are subject to a range of obligations pertaining to commercialization and development, sublicensing, royalty, patent prosecution and maintenance, and insurance.</w:t>
      </w:r>
    </w:p>
    <w:p>
      <w:pPr>
        <w:spacing w:after="0" w:line="7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340"/>
        <w:spacing w:after="0" w:line="313" w:lineRule="auto"/>
        <w:rPr>
          <w:sz w:val="20"/>
          <w:szCs w:val="20"/>
          <w:color w:val="auto"/>
        </w:rPr>
      </w:pPr>
      <w:r>
        <w:rPr>
          <w:rFonts w:ascii="Times New Roman" w:cs="Times New Roman" w:eastAsia="Times New Roman" w:hAnsi="Times New Roman"/>
          <w:sz w:val="18"/>
          <w:szCs w:val="18"/>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4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1"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52"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48"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including:</w:t>
      </w:r>
    </w:p>
    <w:p>
      <w:pPr>
        <w:spacing w:after="0" w:line="55"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57" w:lineRule="exact"/>
        <w:rPr>
          <w:rFonts w:ascii="Times New Roman" w:cs="Times New Roman" w:eastAsia="Times New Roman" w:hAnsi="Times New Roman"/>
          <w:sz w:val="18"/>
          <w:szCs w:val="18"/>
          <w:color w:val="auto"/>
        </w:rPr>
      </w:pPr>
    </w:p>
    <w:p>
      <w:pPr>
        <w:ind w:left="760" w:right="20" w:hanging="378"/>
        <w:spacing w:after="0" w:line="313"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results and performance and stock market valuations of other biopharmaceutical companies generally, or those that develop and commercialize cancer drugs in particular;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 results;</w:t>
      </w:r>
    </w:p>
    <w:p>
      <w:pPr>
        <w:spacing w:after="0" w:line="144" w:lineRule="exact"/>
        <w:rPr>
          <w:rFonts w:ascii="Times New Roman" w:cs="Times New Roman" w:eastAsia="Times New Roman" w:hAnsi="Times New Roman"/>
          <w:sz w:val="18"/>
          <w:szCs w:val="18"/>
          <w:color w:val="auto"/>
        </w:rPr>
      </w:pPr>
    </w:p>
    <w:p>
      <w:pPr>
        <w:ind w:left="760" w:right="160" w:hanging="378"/>
        <w:spacing w:after="0" w:line="329"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others;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operational projections we may provide to the public, any changes in these projections or our failure to meet these projections;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left="760" w:hanging="378"/>
        <w:spacing w:after="0" w:line="329"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40" w:lineRule="exact"/>
        <w:rPr>
          <w:rFonts w:ascii="Times New Roman" w:cs="Times New Roman" w:eastAsia="Times New Roman" w:hAnsi="Times New Roman"/>
          <w:sz w:val="18"/>
          <w:szCs w:val="18"/>
          <w:color w:val="auto"/>
        </w:rPr>
      </w:pPr>
    </w:p>
    <w:p>
      <w:pPr>
        <w:ind w:left="760" w:right="140" w:hanging="378"/>
        <w:spacing w:after="0" w:line="306" w:lineRule="auto"/>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w:t>
      </w:r>
    </w:p>
    <w:p>
      <w:pPr>
        <w:spacing w:after="0" w:line="1" w:lineRule="exact"/>
        <w:rPr>
          <w:rFonts w:ascii="Times New Roman" w:cs="Times New Roman" w:eastAsia="Times New Roman" w:hAnsi="Times New Roman"/>
          <w:sz w:val="17"/>
          <w:szCs w:val="17"/>
          <w:color w:val="auto"/>
        </w:rPr>
      </w:pPr>
    </w:p>
    <w:p>
      <w:pPr>
        <w:ind w:left="760" w:right="2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our competitors, announcements regarding collaborative agreements and other announcements relating to product development, litigation and intellectual property impacting us or our business;</w:t>
      </w:r>
    </w:p>
    <w:p>
      <w:pPr>
        <w:spacing w:after="0" w:line="6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determinations on the approval of a product candidate BLA submission;</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executive officers, directors and significant stockholders;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or acquisition transactions;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or deletion from certain stock indices;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policies;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medical innovations or new products by our competitors;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our senior management or directors;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the COVID-19 pandemic;</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5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In addition, the stock market in general and our stock in particular from time to time experiences significant price and volume fluctuations unrelated to the operating performance of particular companies, including in connection with the ongoing COVID-19 pandemic, which has resulted in decreased stock prices for many companies notwithstanding the lack of a fundamental change in their underlying business models or prospects. Public debt and equity markets, and in particular the Nasdaq Global Select Market, have experienced extreme price and volume fluctuations that have affected and continue to affect the market prices of equity securities of many biopharmaceutical companies.</w:t>
      </w:r>
    </w:p>
    <w:p>
      <w:pPr>
        <w:spacing w:after="0" w:line="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66" w:lineRule="exact"/>
        <w:rPr>
          <w:sz w:val="20"/>
          <w:szCs w:val="20"/>
          <w:color w:val="auto"/>
        </w:rPr>
      </w:pPr>
    </w:p>
    <w:p>
      <w:pPr>
        <w:ind w:right="2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we fail to satisfy applicable listing standards, our common stock may be delisted from the Nasdaq Global Select Market. Delisting could prevent us from maintaining an active, liquid and orderly trading market.</w:t>
      </w:r>
    </w:p>
    <w:p>
      <w:pPr>
        <w:spacing w:after="0" w:line="3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Our ability to publicly or privately sell equity securities and the liquidity of our common stock could be adversely affected if we are delisted from The Nasdaq Global Select Market or if we are unable to transfer our listing to another stock market. On March 17, 2022, we were notified by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have been provided a period of 180 calendar days, or until September 13, 2022, or the Compliance Date, to regain compliance with the Bid Price Requirement. If, at any time before the Compliance Date, the bid price for our common stock closes at $1.00 or more for a minimum of 10 consecutive business days as required under the Compliance Period Rule, Nasdaq will</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8" w:name="page59"/>
    <w:bookmarkEnd w:id="58"/>
    <w:p>
      <w:pPr>
        <w:ind w:right="80"/>
        <w:spacing w:after="0" w:line="313" w:lineRule="auto"/>
        <w:rPr>
          <w:sz w:val="20"/>
          <w:szCs w:val="20"/>
          <w:color w:val="auto"/>
        </w:rPr>
      </w:pPr>
      <w:r>
        <w:rPr>
          <w:rFonts w:ascii="Times New Roman" w:cs="Times New Roman" w:eastAsia="Times New Roman" w:hAnsi="Times New Roman"/>
          <w:sz w:val="18"/>
          <w:szCs w:val="18"/>
          <w:color w:val="auto"/>
        </w:rPr>
        <w:t>provide us written notification that we have regained compliance with the Bid Price Requirement, unless Nasdaq exercises its discretion to extend this ten-day period.</w:t>
      </w:r>
    </w:p>
    <w:p>
      <w:pPr>
        <w:spacing w:after="0" w:line="4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During this 180-day period, we would anticipate reviewing our options to regain compliance with the minimum bid requirements, including conducting a reverse stock split. On April 27, 2022, we filed a definitive proxy statement, which included a proposal to effect a reverse stock split, if needed in the discretion of our board of directors to regain compliance with the Minimum Bid Price Rule, at a ratio between the range of 1-for -5 and 1-for-15, inclusive. On May 11, 2022, the closing price of our common stock was $0.55 per share. If we are unable to continue to meet the requirements for listing on the Nasdaq Global Select Market we may apply to Nasdaq to list our common stock on the Nasdaq Capital Markets which may also provide us up to an additional 180 days to regain compliance with the Minimum Bid Price Rule. Nasdaq would have to accept our application to list on the Nasdaq Capital Market and we would need to show our compliance with the other listing standards and provide Nasdaq written notice of our intention to cure the bid price deficiency. Should Nasdaq determine that we are not eligible to list on the Nasdaq Capital Market or we elect not to submit an application to transfer to the Nasdaq Capital Market we will receive written notice that our common stock will be delisted, at which point we will have the opportunity to appeal that decision. 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employees, which could harm our business and future prospects.</w:t>
      </w:r>
    </w:p>
    <w:p>
      <w:pPr>
        <w:spacing w:after="0" w:line="9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Further, if we are delisted, we would incur additional costs under state blue sky laws in connection with any sales of our securities. These requirements could severely limit the market liquidity of our common stock and the ability of our shareholders to sell our common stock in the secondary market.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effect a reverse stock split of our common stock, but it may not result in the intended benefits.</w:t>
      </w:r>
    </w:p>
    <w:p>
      <w:pPr>
        <w:spacing w:after="0" w:line="12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described above, we are seeking approval from our stockholders to effect, if needed in the discretion of our board of directors, a reverse stock split of the issued and outstanding shares of our common stock, our treasury stock, and a proportionate reduction in the shares of our authorized common stock in order to regain compliance with the Nasdaq minimum bid price requirement. However, there can be no assurance that the reverse stock split will be approved by our stockholders. Further, there can be no assurance that the market price per new share of our common stock after the reverse stock split will remain unchanged or increase in proportion to the reduction in the number of old shares of our common stock outstanding before the reverse stock split. Other factors, such as our financial results, market conditions and the market perception of our business may adversely affect the market price of our common stock and there can be no assurance that a reverse stock split, if completed, will result in the intended benefits, that the market price of our common stock will increase in proportion to the reduction in the number of shares of our common stock outstanding before the reverse stock split or that the market price of our common stock will not decrease in the future. If the market price of our common stock does not increase the price per share of our common stock above Nasdaq’s minimum bid price threshold of $1.00 per share or if the market price of our common stock does not remain above Nasdaq’s minimum bid price threshold of $1.00 per share, our common stock may still be delisted from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implement a reverse stock split, liquidity of our common stock may be adversely affected.</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we do effect a reverse stock split, the liquidity of the shares of our common stock may be affected adversely by any such reverse stock split given the reduced number of shares of common stock that will be outstanding following the reverse stock split, especially if the market price of our common stock does not increase as a result of the reverse stock split.</w:t>
      </w:r>
    </w:p>
    <w:p>
      <w:pPr>
        <w:spacing w:after="0" w:line="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Following any reverse stock split, the resulting market price of our common stock may not attract new investors and may not satisfy the investing requirements of those investors. Although we believe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9" w:name="page60"/>
    <w:bookmarkEnd w:id="59"/>
    <w:p>
      <w:pPr>
        <w:ind w:right="88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3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 have the effect of delaying, deferring or preventing a change in control that our stockholders might consider to be in their best interests.</w:t>
      </w:r>
    </w:p>
    <w:p>
      <w:pPr>
        <w:spacing w:after="0" w:line="17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General Corporation Law confers jurisdiction on the Court of Chancery of the State of Delaware; or (vi) any action asserting a claim against us or any of our directors, officers or other employees governed by the internal affairs doctrine.</w:t>
      </w:r>
    </w:p>
    <w:p>
      <w:pPr>
        <w:spacing w:after="0" w:line="73"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w:t>
      </w:r>
    </w:p>
    <w:p>
      <w:pPr>
        <w:spacing w:after="0" w:line="6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74" w:lineRule="exact"/>
        <w:rPr>
          <w:sz w:val="20"/>
          <w:szCs w:val="20"/>
          <w:color w:val="auto"/>
        </w:rPr>
      </w:pPr>
    </w:p>
    <w:p>
      <w:pPr>
        <w:ind w:right="34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3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tax credits to reduce future tax payments may be limited or restricted.</w:t>
      </w:r>
    </w:p>
    <w:p>
      <w:pPr>
        <w:spacing w:after="0" w:line="1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60" w:name="page61"/>
    <w:bookmarkEnd w:id="60"/>
    <w:p>
      <w:pPr>
        <w:ind w:right="380"/>
        <w:spacing w:after="0" w:line="313" w:lineRule="auto"/>
        <w:rPr>
          <w:sz w:val="20"/>
          <w:szCs w:val="20"/>
          <w:color w:val="auto"/>
        </w:rPr>
      </w:pPr>
      <w:r>
        <w:rPr>
          <w:rFonts w:ascii="Times New Roman" w:cs="Times New Roman" w:eastAsia="Times New Roman" w:hAnsi="Times New Roman"/>
          <w:sz w:val="18"/>
          <w:szCs w:val="18"/>
          <w:color w:val="auto"/>
        </w:rPr>
        <w:t>offset with NOL carry forwards and Section 383 of the Code imposes an annual limitation on the amount of tax a corporation may offset with business credit (including R&amp;D credits) carryforwards.</w:t>
      </w:r>
    </w:p>
    <w:p>
      <w:pPr>
        <w:spacing w:after="0" w:line="4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w:t>
      </w:r>
    </w:p>
    <w:p>
      <w:pPr>
        <w:spacing w:after="0" w:line="166"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6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14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166"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6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As of March 31, 2022, we had warrants for 22,922,342 shares of our common stock outstanding at a weighted average exercise price of $5.62 per share. We are able to grant stock options, restricted stock, restricted stock units, stock appreciation rights, bonus stocks, and performance awards under our 2012 Equity Incentive Plan, or the 2020 Equity Incentive Plan. Under these plans, 10,969,653 shares were issuable upon the exercise of outstanding options at a weighted average exercise price of $2.16 per share.</w:t>
      </w:r>
    </w:p>
    <w:p>
      <w:pPr>
        <w:spacing w:after="0" w:line="17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7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As of March 31, 2022, our executive officers, directors and holders of five percent or more of our outstanding common stock beneficially owned, in the aggregate, 51.9%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71"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right="640"/>
        <w:spacing w:after="0" w:line="313" w:lineRule="auto"/>
        <w:rPr>
          <w:sz w:val="20"/>
          <w:szCs w:val="20"/>
          <w:color w:val="auto"/>
        </w:rPr>
      </w:pPr>
      <w:r>
        <w:rPr>
          <w:rFonts w:ascii="Times New Roman" w:cs="Times New Roman" w:eastAsia="Times New Roman" w:hAnsi="Times New Roman"/>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45"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Changes to corporate tax legislation, including the Tax Cuts and Jobs Act, signed into law in 2017, could adversely affect our business and financial condition.</w:t>
      </w:r>
    </w:p>
    <w:p>
      <w:pPr>
        <w:spacing w:after="0" w:line="6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Tax Act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NOLs to 80% of current year taxable income and elimination of NOL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The Coronavirus Aid, Relief, and Economic Security Act, or CARES Act, enacted in 2020, modified certain of these tax changes, and enacted other tax changes applicable to corporations. Notwithstanding the reduction in the corporate income tax rate, the overall impact of the Tax Act and the CARES Act is uncertain and our business and financial condition could be adversely affected. In addition, it is uncertain if and to what extent various states will conform to the Tax Act or the CARES Act. Currently, bills introduced in Congress, including the Build Back Better Act, contain additional changes to the taxation of corporations, which could adversely affect our business and financial condition. The impact of the Tax Act, the CARES Act and any other tax legislation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95" w:lineRule="exact"/>
        <w:rPr>
          <w:sz w:val="20"/>
          <w:szCs w:val="20"/>
          <w:color w:val="auto"/>
        </w:rPr>
      </w:pPr>
    </w:p>
    <w:p>
      <w:pPr>
        <w:ind w:right="3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our public float exceeds $250 million if our annual revenues are $100 million or more, or until our public float exceeds $700 million if our annual revenues are less than $100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1"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May 11, 2022, Dr. Eleanor de Groot notified us of her decision to resign from her position as our Executive Vice President, Operations, effective May 13, 2022, in order to pursue other opportunities.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6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Certificate of Incorporation, and all amendments thereto (incorporated by reference to Exhibit 3.1 to the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Registrant’s Annual Report on Form 10-K, SEC File No. 001-33038, filed March 30, 2022).</w:t>
              </w:r>
            </w:hyperlink>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Certificate of Designation, Preferences and Rights of Series 1 preferred stock, as filed with the Delaware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3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Secretary of State on July 1, 2016 (incorporated by reference to Exhibit 3.1 to the Registrant’s Current Report on Form 8-K/A,</w:t>
              </w:r>
            </w:hyperlink>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Borders>
              <w:top w:val="single" w:sz="8" w:color="0000FF"/>
              <w:bottom w:val="single" w:sz="8" w:color="0000EE"/>
            </w:tcBorders>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SEC File No. 001-33038, filed July 1, 2016).</w:t>
              </w:r>
            </w:hyperlink>
          </w:p>
        </w:tc>
        <w:tc>
          <w:tcPr>
            <w:tcW w:w="586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 13a-14(a) or 15(d)-14(a), as adopted pursuant to</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5500" w:type="dxa"/>
            <w:vAlign w:val="bottom"/>
            <w:tcBorders>
              <w:top w:val="single" w:sz="8" w:color="0000FF"/>
            </w:tcBorders>
            <w:gridSpan w:val="4"/>
          </w:tcPr>
          <w:p>
            <w:pPr>
              <w:spacing w:after="0"/>
              <w:rPr>
                <w:sz w:val="14"/>
                <w:szCs w:val="14"/>
                <w:color w:val="auto"/>
              </w:rPr>
            </w:pPr>
          </w:p>
        </w:tc>
        <w:tc>
          <w:tcPr>
            <w:tcW w:w="20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Accounting Officer pursuant to 18 U.S.C. Section 1350, as Adopted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tcBorders>
              <w:top w:val="single" w:sz="8" w:color="0000FF"/>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860" w:type="dxa"/>
            <w:vAlign w:val="bottom"/>
            <w:tcBorders>
              <w:top w:val="single" w:sz="8" w:color="0000FF"/>
            </w:tcBorders>
            <w:gridSpan w:val="4"/>
          </w:tcPr>
          <w:p>
            <w:pPr>
              <w:spacing w:after="0"/>
              <w:rPr>
                <w:sz w:val="14"/>
                <w:szCs w:val="14"/>
                <w:color w:val="auto"/>
              </w:rPr>
            </w:pPr>
          </w:p>
        </w:tc>
        <w:tc>
          <w:tcPr>
            <w:tcW w:w="2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interactive data is embedded within the Inline XBRL document or included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Exhibit 101 attachments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auto"/>
              </w:rPr>
              <w:t>subject to the liability of that section, nor shall it be deemed incorporated by reference into any filing under the Securities Act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auto"/>
              </w:rPr>
              <w:t>1933, as amended, or the Securities Exchange Act of 1934, as amended, whether made before or after the date hereof, regardless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any general incorporation language in such filing.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Boyle, Sr.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right="5560"/>
        <w:spacing w:after="0" w:line="271" w:lineRule="auto"/>
        <w:rPr>
          <w:sz w:val="20"/>
          <w:szCs w:val="20"/>
          <w:color w:val="auto"/>
        </w:rPr>
      </w:pPr>
      <w:r>
        <w:rPr>
          <w:rFonts w:ascii="Times New Roman" w:cs="Times New Roman" w:eastAsia="Times New Roman" w:hAnsi="Times New Roman"/>
          <w:sz w:val="18"/>
          <w:szCs w:val="18"/>
          <w:i w:val="1"/>
          <w:iCs w:val="1"/>
          <w:color w:val="auto"/>
        </w:rPr>
        <w:t>(On Behalf of the Registrant and as Principal Executive Officer and Principal Financial Officer)</w:t>
      </w:r>
    </w:p>
    <w:p>
      <w:pPr>
        <w:ind w:left="20"/>
        <w:spacing w:after="0"/>
        <w:rPr>
          <w:sz w:val="20"/>
          <w:szCs w:val="20"/>
          <w:color w:val="auto"/>
        </w:rPr>
      </w:pPr>
      <w:r>
        <w:rPr>
          <w:rFonts w:ascii="Times New Roman" w:cs="Times New Roman" w:eastAsia="Times New Roman" w:hAnsi="Times New Roman"/>
          <w:sz w:val="18"/>
          <w:szCs w:val="18"/>
          <w:color w:val="auto"/>
        </w:rPr>
        <w:t>Dated: May 16,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Wong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Wong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16,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 AND PRINCIPAL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Boyle, Sr., certify that:</w:t>
      </w:r>
    </w:p>
    <w:p>
      <w:pPr>
        <w:spacing w:after="0" w:line="25"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Alaunos Therapeutics, Inc.;</w:t>
      </w:r>
    </w:p>
    <w:p>
      <w:pPr>
        <w:jc w:val="both"/>
        <w:ind w:left="760" w:right="20" w:hanging="75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60" w:right="240" w:hanging="752"/>
        <w:spacing w:after="0" w:line="234"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760" w:right="20" w:hanging="75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500" w:right="140" w:hanging="743"/>
        <w:spacing w:after="0"/>
        <w:tabs>
          <w:tab w:leader="none" w:pos="15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500" w:right="200" w:hanging="743"/>
        <w:spacing w:after="0"/>
        <w:tabs>
          <w:tab w:leader="none" w:pos="15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500" w:hanging="743"/>
        <w:spacing w:after="0" w:line="242" w:lineRule="auto"/>
        <w:tabs>
          <w:tab w:leader="none" w:pos="15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760" w:right="160" w:hanging="752"/>
        <w:spacing w:after="0" w:line="248" w:lineRule="auto"/>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7"/>
          <w:szCs w:val="17"/>
          <w:color w:val="auto"/>
        </w:rPr>
      </w:pPr>
    </w:p>
    <w:p>
      <w:pPr>
        <w:ind w:left="1500" w:right="260" w:hanging="743"/>
        <w:spacing w:after="0" w:line="242" w:lineRule="auto"/>
        <w:tabs>
          <w:tab w:leader="none" w:pos="15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500" w:right="540" w:hanging="743"/>
        <w:spacing w:after="0" w:line="243" w:lineRule="auto"/>
        <w:tabs>
          <w:tab w:leader="none" w:pos="15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Kevin S. Boyle, Sr.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In connection with the Quarterly Report of Alaunos Therapeutics, Inc. (the “Company”) on Form 10-Q for the period ended March 31, 2022,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ind w:left="760" w:hanging="378"/>
        <w:spacing w:after="0" w:line="237"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709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4" w:lineRule="auto"/>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6"/>
    </w:lvl>
  </w:abstractNum>
  <w:abstractNum w:abstractNumId="12">
    <w:nsid w:val="8138641"/>
    <w:multiLevelType w:val="hybridMultilevel"/>
    <w:lvl w:ilvl="0">
      <w:lvlJc w:val="left"/>
      <w:lvlText w:val="%1."/>
      <w:numFmt w:val="decimal"/>
      <w:start w:val="7"/>
    </w:lvl>
  </w:abstractNum>
  <w:abstractNum w:abstractNumId="13">
    <w:nsid w:val="1E7FF521"/>
    <w:multiLevelType w:val="hybridMultilevel"/>
    <w:lvl w:ilvl="0">
      <w:lvlJc w:val="left"/>
      <w:lvlText w:val="%1."/>
      <w:numFmt w:val="decimal"/>
      <w:start w:val="8"/>
    </w:lvl>
  </w:abstractNum>
  <w:abstractNum w:abstractNumId="14">
    <w:nsid w:val="7C3DBD3D"/>
    <w:multiLevelType w:val="hybridMultilevel"/>
    <w:lvl w:ilvl="0">
      <w:lvlJc w:val="left"/>
      <w:lvlText w:val="%1."/>
      <w:numFmt w:val="decimal"/>
      <w:start w:val="9"/>
    </w:lvl>
  </w:abstractNum>
  <w:abstractNum w:abstractNumId="15">
    <w:nsid w:val="737B8DDC"/>
    <w:multiLevelType w:val="hybridMultilevel"/>
    <w:lvl w:ilvl="0">
      <w:lvlJc w:val="left"/>
      <w:lvlText w:val="%1."/>
      <w:numFmt w:val="decimal"/>
      <w:start w:val="10"/>
    </w:lvl>
  </w:abstractNum>
  <w:abstractNum w:abstractNumId="16">
    <w:nsid w:val="6CEAF087"/>
    <w:multiLevelType w:val="hybridMultilevel"/>
    <w:lvl w:ilvl="0">
      <w:lvlJc w:val="left"/>
      <w:lvlText w:val="%1."/>
      <w:numFmt w:val="decimal"/>
      <w:start w:val="11"/>
    </w:lvl>
  </w:abstractNum>
  <w:abstractNum w:abstractNumId="17">
    <w:nsid w:val="22221A70"/>
    <w:multiLevelType w:val="hybridMultilevel"/>
    <w:lvl w:ilvl="0">
      <w:lvlJc w:val="left"/>
      <w:lvlText w:val="%1."/>
      <w:numFmt w:val="decimal"/>
      <w:start w:val="12"/>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68" Type="http://schemas.openxmlformats.org/officeDocument/2006/relationships/hyperlink" Target="https://www.sec.gov/Archives/edgar/data/1107421/000095017022004972/tcrt-ex3_1.htm" TargetMode="External"/><Relationship Id="rId169" Type="http://schemas.openxmlformats.org/officeDocument/2006/relationships/hyperlink" Target="https://www.sec.gov/Archives/edgar/data/0001107421/000119312516640603/d220092d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2022-05-16T06:38:59Z</dcterms:created>
  <dcterms:modified xsi:type="dcterms:W3CDTF">2022-05-16T06:38:59Z</dcterms:modified>
</cp:coreProperties>
</file>