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tcrt-20261005.htm"/>
      <w:bookmarkStart w:id="1" w:name="kstcrt20261005"/>
      <w:bookmarkEnd w:id="0"/>
      <w:bookmarkEnd w:id="1"/>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jc w:val="center"/>
        <w:rPr>
          <w:rFonts w:ascii="Times New Roman" w:hAnsi="Times New Roman"/>
          <w:color w:val="000000"/>
          <w:sz w:val="20"/>
        </w:rPr>
      </w:pPr>
      <w:r>
        <w:rPr>
          <w:rFonts w:ascii="Times New Roman" w:hAnsi="Times New Roman"/>
          <w:color w:val="000000"/>
          <w:sz w:val="20"/>
        </w:rPr>
        <w:t>Date of Report (Date of earliest event reported): October 5, 2026</w:t>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charter)</w:t>
      </w:r>
    </w:p>
    <w:tbl>
      <w:tblPr>
        <w:tblW w:w="6461" w:type="dxa"/>
        <w:jc w:val="left"/>
        <w:tblInd w:w="0" w:type="dxa"/>
        <w:tblLayout w:type="fixed"/>
        <w:tblCellMar>
          <w:top w:w="28" w:type="dxa"/>
          <w:left w:w="28" w:type="dxa"/>
          <w:bottom w:w="28" w:type="dxa"/>
          <w:right w:w="28" w:type="dxa"/>
        </w:tblCellMar>
      </w:tblPr>
      <w:tblGrid>
        <w:gridCol w:w="2251"/>
        <w:gridCol w:w="109"/>
        <w:gridCol w:w="2341"/>
        <w:gridCol w:w="109"/>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001-33038</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84-1475642</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(Commission File Number)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501 E. Las Olas Blvd., Suite 300</w:t>
      </w:r>
    </w:p>
    <w:p>
      <w:pPr>
        <w:pStyle w:val="TextBody"/>
        <w:bidi w:val="0"/>
        <w:jc w:val="center"/>
        <w:rPr>
          <w:rFonts w:ascii="Times New Roman" w:hAnsi="Times New Roman"/>
          <w:sz w:val="20"/>
        </w:rPr>
      </w:pPr>
      <w:r>
        <w:rPr>
          <w:rFonts w:ascii="Times New Roman" w:hAnsi="Times New Roman"/>
          <w:b/>
          <w:color w:val="000000"/>
          <w:sz w:val="20"/>
        </w:rPr>
        <w:t>Fort Lauderdale, FL</w:t>
      </w:r>
      <w:r>
        <w:rPr>
          <w:rFonts w:ascii="Times New Roman" w:hAnsi="Times New Roman"/>
          <w:color w:val="000000"/>
          <w:sz w:val="20"/>
        </w:rPr>
        <w:t xml:space="preserve"> </w:t>
      </w:r>
      <w:r>
        <w:rPr>
          <w:rFonts w:ascii="Times New Roman" w:hAnsi="Times New Roman"/>
          <w:b/>
          <w:color w:val="000000"/>
          <w:sz w:val="20"/>
        </w:rPr>
        <w:t>33301</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jc w:val="center"/>
        <w:rPr>
          <w:rFonts w:ascii="Times New Roman" w:hAnsi="Times New Roman"/>
          <w:b/>
          <w:color w:val="000000"/>
          <w:sz w:val="20"/>
        </w:rPr>
      </w:pPr>
      <w:r>
        <w:rPr>
          <w:rFonts w:ascii="Times New Roman" w:hAnsi="Times New Roman"/>
          <w:b/>
          <w:color w:val="000000"/>
          <w:sz w:val="20"/>
        </w:rPr>
        <w:t>(346) 355-4099</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both"/>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color w:val="000000"/>
          <w:sz w:val="20"/>
          <w:u w:val="single"/>
        </w:rPr>
        <w:t>see</w:t>
      </w:r>
      <w:r>
        <w:rPr>
          <w:rFonts w:ascii="Times New Roman" w:hAnsi="Times New Roman"/>
          <w:color w:val="000000"/>
          <w:sz w:val="20"/>
        </w:rPr>
        <w:t xml:space="preserve"> General Instruction A.2. below):</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both"/>
        <w:rPr>
          <w:rFonts w:ascii="Times New Roman" w:hAnsi="Times New Roman"/>
          <w:color w:val="000000"/>
          <w:sz w:val="20"/>
        </w:rPr>
      </w:pPr>
      <w:r>
        <w:rPr>
          <w:rFonts w:ascii="Times New Roman" w:hAnsi="Times New Roman"/>
          <w:color w:val="000000"/>
          <w:sz w:val="20"/>
        </w:rPr>
        <w:t>Securities registered pursuant to Section 12(b) of the Act:</w:t>
      </w:r>
    </w:p>
    <w:tbl>
      <w:tblPr>
        <w:tblW w:w="8606" w:type="dxa"/>
        <w:jc w:val="left"/>
        <w:tblInd w:w="0" w:type="dxa"/>
        <w:tblLayout w:type="fixed"/>
        <w:tblCellMar>
          <w:top w:w="28" w:type="dxa"/>
          <w:left w:w="28" w:type="dxa"/>
          <w:bottom w:w="28" w:type="dxa"/>
          <w:right w:w="28" w:type="dxa"/>
        </w:tblCellMar>
      </w:tblPr>
      <w:tblGrid>
        <w:gridCol w:w="1621"/>
        <w:gridCol w:w="109"/>
        <w:gridCol w:w="1696"/>
        <w:gridCol w:w="109"/>
        <w:gridCol w:w="5071"/>
      </w:tblGrid>
      <w:tr>
        <w:trPr/>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7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16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TCRT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 (The Nasdaq Capital Market)</w:t>
            </w:r>
          </w:p>
        </w:tc>
      </w:tr>
    </w:tbl>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 240.12b-2 of this chapter).</w:t>
      </w:r>
    </w:p>
    <w:p>
      <w:pPr>
        <w:pStyle w:val="TextBody"/>
        <w:bidi w:val="0"/>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mart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Item 3.01 Notice of Delisting or Failure to Satisfy a Continued Listing Rule or Standard; Transfer of Listing.</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As previously disclosed, on April 9, 2026, Alaunos Therapeutics, Inc. (the “Company”) received notice from the Listing Qualifications Staff (the “Staff”) of The Nasdaq Stock Market LLC (“Nasdaq”) stating that the Company was not in compliance with Nasdaq Listing Rule 5550(b)(1), which requires listed companies to maintain a minimum of $2,500,000 in stockholders’ equity for continued listing on the Nasdaq Capital Market (the “Rule”). In accordance with Nasdaq’s rules, the Company timely submitted a plan to regain compliance with the stockholders’ equity requirement.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October 5, 2026, the Company received a written notice from the Staff informing that its securities were subject to delisting from Nasdaq due to the Company with the Rule, unless the Company timely requests a hearing before the Nasdaq Hearings Panel (the “Panel”). The Company plans to timely request a hearing before the Panel, which request will stay any further suspension or delisting action by Nasdaq at least until the hearing is held and any extension that may be granted by the Panel expires.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is exploring and evaluating strategic alternatives intended to strengthen its financial position and support its efforts to regain compliance with Nasdaq’s applicable listing requirements. The Company is working with a financial advisor to complete one or more potential transactions that it believes would result in regaining compliance with all applicable criteria for continued listing on Nasdaq.</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There can be no assurance that the Panel will grant the Company’s request for continued listing, that the Company will be able to evidence compliance with the applicable listing criteria within any extension period that may be granted by the Panel following the hearing or that the Company’s evaluation of strategic alternatives will result in the identification of a suitable strategic alternative, the execution of a definitive agreement or the consummation of any such transaction. Any potential transaction would be subject to, as applicable, satisfactory negotiations, completion of due diligence, execution of definitive agreements, receipt of required approvals and satisfaction of applicable closing conditions. Further, there can be no assurance as to the timing, terms or benefits of any potential transaction, or that any transaction, if completed, would enable the Company to regain or maintain compliance with Nasdaq’s applicable listing requirements or prevent the suspension of trading in, or delisting of, the Company’s securities.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rFonts w:ascii="Times New Roman" w:hAnsi="Times New Roman"/>
          <w:color w:val="000000"/>
          <w:sz w:val="20"/>
        </w:rPr>
      </w:pPr>
      <w:r>
        <w:rPr>
          <w:rFonts w:ascii="Times New Roman" w:hAnsi="Times New Roman"/>
          <w:color w:val="000000"/>
          <w:sz w:val="20"/>
        </w:rPr>
        <w:t>Date: October 9, 2026</w:t>
      </w:r>
    </w:p>
    <w:tbl>
      <w:tblPr>
        <w:tblW w:w="3259" w:type="dxa"/>
        <w:jc w:val="left"/>
        <w:tblInd w:w="0" w:type="dxa"/>
        <w:tblLayout w:type="fixed"/>
        <w:tblCellMar>
          <w:top w:w="28" w:type="dxa"/>
          <w:left w:w="28" w:type="dxa"/>
          <w:bottom w:w="28" w:type="dxa"/>
          <w:right w:w="28" w:type="dxa"/>
        </w:tblCellMar>
      </w:tblPr>
      <w:tblGrid>
        <w:gridCol w:w="534"/>
        <w:gridCol w:w="2571"/>
        <w:gridCol w:w="154"/>
      </w:tblGrid>
      <w:tr>
        <w:trPr/>
        <w:tc>
          <w:tcPr>
            <w:tcW w:w="534"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ALAUNOS THERAPEUTICS, INC.</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7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Holger Weis</w:t>
            </w:r>
          </w:p>
        </w:tc>
        <w:tc>
          <w:tcPr>
            <w:tcW w:w="1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Holger Weis</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4222</Characters>
  <CharactersWithSpaces>4927</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