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20"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8" w:lineRule="exact"/>
        <w:rPr>
          <w:sz w:val="24"/>
          <w:szCs w:val="24"/>
          <w:color w:val="auto"/>
        </w:rPr>
      </w:pPr>
    </w:p>
    <w:p>
      <w:pPr>
        <w:ind w:left="460" w:hanging="44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09" w:lineRule="exact"/>
        <w:rPr>
          <w:sz w:val="24"/>
          <w:szCs w:val="24"/>
          <w:color w:val="auto"/>
        </w:rPr>
      </w:pPr>
    </w:p>
    <w:tbl>
      <w:tblPr>
        <w:tblLayout w:type="fixed"/>
        <w:tblInd w:w="134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 to _______</w:t>
            </w:r>
          </w:p>
        </w:tc>
        <w:tc>
          <w:tcPr>
            <w:tcW w:w="2540" w:type="dxa"/>
            <w:vAlign w:val="bottom"/>
          </w:tcPr>
          <w:p>
            <w:pPr>
              <w:spacing w:after="0"/>
              <w:rPr>
                <w:sz w:val="15"/>
                <w:szCs w:val="15"/>
                <w:color w:val="auto"/>
              </w:rPr>
            </w:pPr>
          </w:p>
        </w:tc>
      </w:tr>
      <w:tr>
        <w:trPr>
          <w:trHeight w:val="256"/>
        </w:trPr>
        <w:tc>
          <w:tcPr>
            <w:tcW w:w="2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40" w:type="dxa"/>
            <w:vAlign w:val="bottom"/>
            <w:gridSpan w:val="2"/>
          </w:tcPr>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001-33038</w:t>
            </w:r>
          </w:p>
        </w:tc>
        <w:tc>
          <w:tcPr>
            <w:tcW w:w="2540" w:type="dxa"/>
            <w:vAlign w:val="bottom"/>
          </w:tcPr>
          <w:p>
            <w:pPr>
              <w:spacing w:after="0"/>
              <w:rPr>
                <w:sz w:val="22"/>
                <w:szCs w:val="22"/>
                <w:color w:val="auto"/>
              </w:rPr>
            </w:pPr>
          </w:p>
        </w:tc>
      </w:tr>
      <w:tr>
        <w:trPr>
          <w:trHeight w:val="483"/>
        </w:trPr>
        <w:tc>
          <w:tcPr>
            <w:tcW w:w="6500" w:type="dxa"/>
            <w:vAlign w:val="bottom"/>
            <w:gridSpan w:val="4"/>
          </w:tcPr>
          <w:p>
            <w:pPr>
              <w:ind w:left="2180"/>
              <w:spacing w:after="0"/>
              <w:rPr>
                <w:sz w:val="20"/>
                <w:szCs w:val="20"/>
                <w:color w:val="auto"/>
              </w:rPr>
            </w:pPr>
            <w:r>
              <w:rPr>
                <w:rFonts w:ascii="Times New Roman" w:cs="Times New Roman" w:eastAsia="Times New Roman" w:hAnsi="Times New Roman"/>
                <w:sz w:val="36"/>
                <w:szCs w:val="36"/>
                <w:b w:val="1"/>
                <w:bCs w:val="1"/>
                <w:color w:val="auto"/>
              </w:rPr>
              <w:t>Alaunos Therapeutics, Inc.</w:t>
            </w:r>
          </w:p>
        </w:tc>
        <w:tc>
          <w:tcPr>
            <w:tcW w:w="2540" w:type="dxa"/>
            <w:vAlign w:val="bottom"/>
          </w:tcPr>
          <w:p>
            <w:pPr>
              <w:spacing w:after="0"/>
              <w:rPr>
                <w:sz w:val="24"/>
                <w:szCs w:val="24"/>
                <w:color w:val="auto"/>
              </w:rPr>
            </w:pPr>
          </w:p>
        </w:tc>
      </w:tr>
      <w:tr>
        <w:trPr>
          <w:trHeight w:val="178"/>
        </w:trPr>
        <w:tc>
          <w:tcPr>
            <w:tcW w:w="2600" w:type="dxa"/>
            <w:vAlign w:val="bottom"/>
          </w:tcPr>
          <w:p>
            <w:pPr>
              <w:spacing w:after="0"/>
              <w:rPr>
                <w:sz w:val="15"/>
                <w:szCs w:val="15"/>
                <w:color w:val="auto"/>
              </w:rPr>
            </w:pPr>
          </w:p>
        </w:tc>
        <w:tc>
          <w:tcPr>
            <w:tcW w:w="39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540" w:type="dxa"/>
            <w:vAlign w:val="bottom"/>
          </w:tcPr>
          <w:p>
            <w:pPr>
              <w:spacing w:after="0"/>
              <w:rPr>
                <w:sz w:val="15"/>
                <w:szCs w:val="15"/>
                <w:color w:val="auto"/>
              </w:rPr>
            </w:pPr>
          </w:p>
        </w:tc>
      </w:tr>
      <w:tr>
        <w:trPr>
          <w:trHeight w:val="19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40" w:type="dxa"/>
            <w:vAlign w:val="bottom"/>
          </w:tcPr>
          <w:p>
            <w:pPr>
              <w:jc w:val="right"/>
              <w:ind w:right="1475"/>
              <w:spacing w:after="0"/>
              <w:rPr>
                <w:sz w:val="20"/>
                <w:szCs w:val="20"/>
                <w:color w:val="auto"/>
              </w:rPr>
            </w:pPr>
            <w:r>
              <w:rPr>
                <w:rFonts w:ascii="Times New Roman" w:cs="Times New Roman" w:eastAsia="Times New Roman" w:hAnsi="Times New Roman"/>
                <w:sz w:val="13"/>
                <w:szCs w:val="13"/>
                <w:b w:val="1"/>
                <w:bCs w:val="1"/>
                <w:color w:val="auto"/>
              </w:rPr>
              <w:t>84-1475642</w:t>
            </w:r>
          </w:p>
        </w:tc>
      </w:tr>
      <w:tr>
        <w:trPr>
          <w:trHeight w:val="135"/>
        </w:trPr>
        <w:tc>
          <w:tcPr>
            <w:tcW w:w="2600" w:type="dxa"/>
            <w:vAlign w:val="bottom"/>
          </w:tcPr>
          <w:p>
            <w:pPr>
              <w:jc w:val="center"/>
              <w:ind w:left="34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5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40" w:type="dxa"/>
            <w:vAlign w:val="bottom"/>
          </w:tcPr>
          <w:p>
            <w:pPr>
              <w:jc w:val="center"/>
              <w:ind w:right="1095"/>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40" w:type="dxa"/>
            <w:vAlign w:val="bottom"/>
          </w:tcPr>
          <w:p>
            <w:pPr>
              <w:jc w:val="center"/>
              <w:ind w:right="109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42"/>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rPr>
              <w:t>2617 Bissonnet Street, Suite 225</w:t>
            </w:r>
          </w:p>
        </w:tc>
        <w:tc>
          <w:tcPr>
            <w:tcW w:w="5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145"/>
        </w:trPr>
        <w:tc>
          <w:tcPr>
            <w:tcW w:w="2600" w:type="dxa"/>
            <w:vAlign w:val="bottom"/>
          </w:tcPr>
          <w:p>
            <w:pPr>
              <w:jc w:val="center"/>
              <w:ind w:left="342"/>
              <w:spacing w:after="0" w:line="145" w:lineRule="exact"/>
              <w:rPr>
                <w:sz w:val="20"/>
                <w:szCs w:val="20"/>
                <w:color w:val="auto"/>
              </w:rPr>
            </w:pPr>
            <w:r>
              <w:rPr>
                <w:rFonts w:ascii="Times New Roman" w:cs="Times New Roman" w:eastAsia="Times New Roman" w:hAnsi="Times New Roman"/>
                <w:sz w:val="13"/>
                <w:szCs w:val="13"/>
                <w:b w:val="1"/>
                <w:bCs w:val="1"/>
                <w:color w:val="auto"/>
              </w:rPr>
              <w:t>Houston, TX</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40" w:type="dxa"/>
            <w:vAlign w:val="bottom"/>
          </w:tcPr>
          <w:p>
            <w:pPr>
              <w:jc w:val="right"/>
              <w:ind w:right="1615"/>
              <w:spacing w:after="0" w:line="145" w:lineRule="exact"/>
              <w:rPr>
                <w:sz w:val="20"/>
                <w:szCs w:val="20"/>
                <w:color w:val="auto"/>
              </w:rPr>
            </w:pPr>
            <w:r>
              <w:rPr>
                <w:rFonts w:ascii="Times New Roman" w:cs="Times New Roman" w:eastAsia="Times New Roman" w:hAnsi="Times New Roman"/>
                <w:sz w:val="13"/>
                <w:szCs w:val="13"/>
                <w:b w:val="1"/>
                <w:bCs w:val="1"/>
                <w:color w:val="auto"/>
              </w:rPr>
              <w:t>77005</w:t>
            </w:r>
          </w:p>
        </w:tc>
      </w:tr>
      <w:tr>
        <w:trPr>
          <w:trHeight w:val="16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40" w:type="dxa"/>
            <w:vAlign w:val="bottom"/>
          </w:tcPr>
          <w:p>
            <w:pPr>
              <w:jc w:val="center"/>
              <w:ind w:right="1095"/>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11"/>
        </w:trPr>
        <w:tc>
          <w:tcPr>
            <w:tcW w:w="2600" w:type="dxa"/>
            <w:vAlign w:val="bottom"/>
          </w:tcPr>
          <w:p>
            <w:pPr>
              <w:spacing w:after="0"/>
              <w:rPr>
                <w:sz w:val="18"/>
                <w:szCs w:val="18"/>
                <w:color w:val="auto"/>
              </w:rPr>
            </w:pPr>
          </w:p>
        </w:tc>
        <w:tc>
          <w:tcPr>
            <w:tcW w:w="2800" w:type="dxa"/>
            <w:vAlign w:val="bottom"/>
            <w:gridSpan w:val="2"/>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(346) 355-4099</w:t>
            </w:r>
          </w:p>
        </w:tc>
        <w:tc>
          <w:tcPr>
            <w:tcW w:w="1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66"/>
        </w:trPr>
        <w:tc>
          <w:tcPr>
            <w:tcW w:w="2600" w:type="dxa"/>
            <w:vAlign w:val="bottom"/>
          </w:tcPr>
          <w:p>
            <w:pPr>
              <w:spacing w:after="0"/>
              <w:rPr>
                <w:sz w:val="14"/>
                <w:szCs w:val="14"/>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540" w:type="dxa"/>
            <w:vAlign w:val="bottom"/>
          </w:tcPr>
          <w:p>
            <w:pPr>
              <w:spacing w:after="0"/>
              <w:rPr>
                <w:sz w:val="14"/>
                <w:szCs w:val="14"/>
                <w:color w:val="auto"/>
              </w:rPr>
            </w:pPr>
          </w:p>
        </w:tc>
      </w:tr>
      <w:tr>
        <w:trPr>
          <w:trHeight w:val="97"/>
        </w:trPr>
        <w:tc>
          <w:tcPr>
            <w:tcW w:w="2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49"/>
        </w:trPr>
        <w:tc>
          <w:tcPr>
            <w:tcW w:w="2600" w:type="dxa"/>
            <w:vAlign w:val="bottom"/>
          </w:tcPr>
          <w:p>
            <w:pPr>
              <w:spacing w:after="0"/>
              <w:rPr>
                <w:sz w:val="21"/>
                <w:szCs w:val="21"/>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540" w:type="dxa"/>
            <w:vAlign w:val="bottom"/>
          </w:tcPr>
          <w:p>
            <w:pPr>
              <w:spacing w:after="0"/>
              <w:rPr>
                <w:sz w:val="21"/>
                <w:szCs w:val="21"/>
                <w:color w:val="auto"/>
              </w:rPr>
            </w:pPr>
          </w:p>
        </w:tc>
      </w:tr>
      <w:tr>
        <w:trPr>
          <w:trHeight w:val="182"/>
        </w:trPr>
        <w:tc>
          <w:tcPr>
            <w:tcW w:w="2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40" w:type="dxa"/>
            <w:vAlign w:val="bottom"/>
          </w:tcPr>
          <w:p>
            <w:pPr>
              <w:jc w:val="center"/>
              <w:ind w:left="715"/>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w:t>
            </w:r>
          </w:p>
        </w:tc>
      </w:tr>
      <w:tr>
        <w:trPr>
          <w:trHeight w:val="138"/>
        </w:trPr>
        <w:tc>
          <w:tcPr>
            <w:tcW w:w="2600" w:type="dxa"/>
            <w:vAlign w:val="bottom"/>
          </w:tcPr>
          <w:p>
            <w:pPr>
              <w:jc w:val="center"/>
              <w:ind w:right="1582"/>
              <w:spacing w:after="0" w:line="139" w:lineRule="exact"/>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560" w:type="dxa"/>
            <w:vAlign w:val="bottom"/>
          </w:tcPr>
          <w:p>
            <w:pPr>
              <w:spacing w:after="0"/>
              <w:rPr>
                <w:sz w:val="12"/>
                <w:szCs w:val="12"/>
                <w:color w:val="auto"/>
              </w:rPr>
            </w:pPr>
          </w:p>
        </w:tc>
        <w:tc>
          <w:tcPr>
            <w:tcW w:w="3340" w:type="dxa"/>
            <w:vAlign w:val="bottom"/>
            <w:gridSpan w:val="2"/>
          </w:tcPr>
          <w:p>
            <w:pPr>
              <w:jc w:val="center"/>
              <w:ind w:right="940"/>
              <w:spacing w:after="0" w:line="139"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540" w:type="dxa"/>
            <w:vAlign w:val="bottom"/>
          </w:tcPr>
          <w:p>
            <w:pPr>
              <w:jc w:val="center"/>
              <w:ind w:left="715"/>
              <w:spacing w:after="0" w:line="139" w:lineRule="exact"/>
              <w:rPr>
                <w:sz w:val="20"/>
                <w:szCs w:val="20"/>
                <w:color w:val="auto"/>
              </w:rPr>
            </w:pPr>
            <w:r>
              <w:rPr>
                <w:rFonts w:ascii="Times New Roman" w:cs="Times New Roman" w:eastAsia="Times New Roman" w:hAnsi="Times New Roman"/>
                <w:sz w:val="13"/>
                <w:szCs w:val="13"/>
                <w:b w:val="1"/>
                <w:bCs w:val="1"/>
                <w:color w:val="auto"/>
                <w:w w:val="93"/>
              </w:rPr>
              <w:t>registered</w:t>
            </w:r>
          </w:p>
        </w:tc>
      </w:tr>
      <w:tr>
        <w:trPr>
          <w:trHeight w:val="178"/>
        </w:trPr>
        <w:tc>
          <w:tcPr>
            <w:tcW w:w="2600" w:type="dxa"/>
            <w:vAlign w:val="bottom"/>
          </w:tcPr>
          <w:p>
            <w:pPr>
              <w:jc w:val="center"/>
              <w:ind w:right="158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60" w:type="dxa"/>
            <w:vAlign w:val="bottom"/>
          </w:tcPr>
          <w:p>
            <w:pPr>
              <w:spacing w:after="0"/>
              <w:rPr>
                <w:sz w:val="15"/>
                <w:szCs w:val="15"/>
                <w:color w:val="auto"/>
              </w:rPr>
            </w:pPr>
          </w:p>
        </w:tc>
        <w:tc>
          <w:tcPr>
            <w:tcW w:w="3340" w:type="dxa"/>
            <w:vAlign w:val="bottom"/>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TCRT</w:t>
            </w:r>
          </w:p>
        </w:tc>
        <w:tc>
          <w:tcPr>
            <w:tcW w:w="2540" w:type="dxa"/>
            <w:vAlign w:val="bottom"/>
          </w:tcPr>
          <w:p>
            <w:pPr>
              <w:jc w:val="center"/>
              <w:ind w:left="715"/>
              <w:spacing w:after="0"/>
              <w:rPr>
                <w:sz w:val="20"/>
                <w:szCs w:val="20"/>
                <w:color w:val="auto"/>
              </w:rPr>
            </w:pPr>
            <w:r>
              <w:rPr>
                <w:rFonts w:ascii="Times New Roman" w:cs="Times New Roman" w:eastAsia="Times New Roman" w:hAnsi="Times New Roman"/>
                <w:sz w:val="13"/>
                <w:szCs w:val="13"/>
                <w:b w:val="1"/>
                <w:bCs w:val="1"/>
                <w:color w:val="auto"/>
              </w:rPr>
              <w:t>The Nasdaq Capital Market</w:t>
            </w:r>
          </w:p>
        </w:tc>
      </w:tr>
    </w:tbl>
    <w:p>
      <w:pPr>
        <w:spacing w:after="0" w:line="7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66" w:lineRule="exact"/>
        <w:rPr>
          <w:sz w:val="24"/>
          <w:szCs w:val="24"/>
          <w:color w:val="auto"/>
        </w:rPr>
      </w:pPr>
    </w:p>
    <w:p>
      <w:pPr>
        <w:ind w:left="4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7" w:lineRule="exact"/>
        <w:rPr>
          <w:sz w:val="24"/>
          <w:szCs w:val="24"/>
          <w:color w:val="auto"/>
        </w:rPr>
      </w:pPr>
    </w:p>
    <w:p>
      <w:pPr>
        <w:ind w:left="4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4" w:lineRule="exact"/>
        <w:rPr>
          <w:sz w:val="24"/>
          <w:szCs w:val="24"/>
          <w:color w:val="auto"/>
        </w:rPr>
      </w:pPr>
    </w:p>
    <w:p>
      <w:pPr>
        <w:ind w:right="60" w:firstLine="46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7" w:lineRule="exact"/>
        <w:rPr>
          <w:sz w:val="24"/>
          <w:szCs w:val="24"/>
          <w:color w:val="auto"/>
        </w:rPr>
      </w:pPr>
    </w:p>
    <w:p>
      <w:pPr>
        <w:ind w:firstLine="46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500" w:firstLine="464"/>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definition of “large accelerated filer,” “accelerate filer” and “smaller reporting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 Accelerated Filer</w:t>
            </w:r>
          </w:p>
        </w:tc>
        <w:tc>
          <w:tcPr>
            <w:tcW w:w="376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16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2" w:lineRule="exact"/>
        <w:rPr>
          <w:sz w:val="24"/>
          <w:szCs w:val="24"/>
          <w:color w:val="auto"/>
        </w:rPr>
      </w:pPr>
    </w:p>
    <w:p>
      <w:pPr>
        <w:ind w:right="120" w:firstLine="464"/>
        <w:spacing w:after="0" w:line="182" w:lineRule="exact"/>
        <w:rPr>
          <w:sz w:val="20"/>
          <w:szCs w:val="20"/>
          <w:color w:val="auto"/>
        </w:rPr>
      </w:pPr>
      <w:r>
        <w:rPr>
          <w:rFonts w:ascii="Times New Roman" w:cs="Times New Roman" w:eastAsia="Times New Roman" w:hAnsi="Times New Roman"/>
          <w:sz w:val="15"/>
          <w:szCs w:val="15"/>
          <w:color w:val="auto"/>
        </w:rPr>
        <w:t xml:space="preserve">If an emerging </w:t>
      </w:r>
      <w:r>
        <w:rPr>
          <w:rFonts w:ascii="Times New Roman" w:cs="Times New Roman" w:eastAsia="Times New Roman" w:hAnsi="Times New Roman"/>
          <w:sz w:val="13"/>
          <w:szCs w:val="13"/>
          <w:color w:val="auto"/>
        </w:rPr>
        <w:t>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 xml:space="preserve">provided pursuant to Section 13(a) of the Exchange Act. </w:t>
      </w:r>
      <w:r>
        <w:rPr>
          <w:rFonts w:ascii="MS PGothic" w:cs="MS PGothic" w:eastAsia="MS PGothic" w:hAnsi="MS PGothic"/>
          <w:sz w:val="13"/>
          <w:szCs w:val="13"/>
          <w:color w:val="auto"/>
        </w:rPr>
        <w:t>☐</w:t>
      </w:r>
    </w:p>
    <w:p>
      <w:pPr>
        <w:spacing w:after="0" w:line="47" w:lineRule="exact"/>
        <w:rPr>
          <w:sz w:val="24"/>
          <w:szCs w:val="24"/>
          <w:color w:val="auto"/>
        </w:rPr>
      </w:pPr>
    </w:p>
    <w:p>
      <w:pPr>
        <w:ind w:right="280" w:firstLine="46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1" w:lineRule="exact"/>
        <w:rPr>
          <w:sz w:val="24"/>
          <w:szCs w:val="24"/>
          <w:color w:val="auto"/>
        </w:rPr>
      </w:pPr>
    </w:p>
    <w:p>
      <w:pPr>
        <w:ind w:right="360" w:firstLine="464"/>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7" w:lineRule="exact"/>
        <w:rPr>
          <w:sz w:val="24"/>
          <w:szCs w:val="24"/>
          <w:color w:val="auto"/>
        </w:rPr>
      </w:pPr>
    </w:p>
    <w:p>
      <w:pPr>
        <w:ind w:right="60" w:firstLine="46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6" w:lineRule="exact"/>
        <w:rPr>
          <w:sz w:val="24"/>
          <w:szCs w:val="24"/>
          <w:color w:val="auto"/>
        </w:rPr>
      </w:pPr>
    </w:p>
    <w:p>
      <w:pPr>
        <w:ind w:left="4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8" w:lineRule="exact"/>
        <w:rPr>
          <w:sz w:val="24"/>
          <w:szCs w:val="24"/>
          <w:color w:val="auto"/>
        </w:rPr>
      </w:pPr>
    </w:p>
    <w:p>
      <w:pPr>
        <w:ind w:right="200" w:firstLine="464"/>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was $94,764,946 as of June 30, 2023 (the last business day of the registrant’s most recently completed second fiscal quarter), based on a total of 16,041,804 shares of common stock held by non-affiliates and a closing price of $7.65 as reported on the Nasdaq Capital Market on June 30, 2023.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7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March 27, 2024, there were 16,012,479 shares of the registrant’s common stock, $0.001 par value per share, outstanding.</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Portions of the Proxy Statement for the Registrant's 2024 Annual Meeting of Stockholders are incorporated by reference into Part III of this Annual Report on Form 10-K.</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67"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gridSpan w:val="9"/>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rPr>
              <w:t>Alaunos Therapeutics, Inc.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gridSpan w:val="9"/>
          </w:tcPr>
          <w:p>
            <w:pPr>
              <w:jc w:val="center"/>
              <w:ind w:right="3300"/>
              <w:spacing w:after="0"/>
              <w:rPr>
                <w:sz w:val="20"/>
                <w:szCs w:val="20"/>
                <w:color w:val="auto"/>
              </w:rPr>
            </w:pPr>
            <w:r>
              <w:rPr>
                <w:rFonts w:ascii="Times New Roman" w:cs="Times New Roman" w:eastAsia="Times New Roman" w:hAnsi="Times New Roman"/>
                <w:sz w:val="16"/>
                <w:szCs w:val="16"/>
                <w:color w:val="auto"/>
              </w:rPr>
              <w:t>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12"/>
          </w:tcPr>
          <w:p>
            <w:pPr>
              <w:jc w:val="center"/>
              <w:ind w:right="2140"/>
              <w:spacing w:after="0"/>
              <w:rPr>
                <w:sz w:val="20"/>
                <w:szCs w:val="20"/>
                <w:color w:val="auto"/>
              </w:rPr>
            </w:pPr>
            <w:r>
              <w:rPr>
                <w:rFonts w:ascii="Times New Roman" w:cs="Times New Roman" w:eastAsia="Times New Roman" w:hAnsi="Times New Roman"/>
                <w:sz w:val="16"/>
                <w:szCs w:val="16"/>
                <w:color w:val="auto"/>
              </w:rPr>
              <w:t>FOR THE FISCAL YEAR ENDED DECEMBER 31, 2023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9"/>
          </w:tcPr>
          <w:p>
            <w:pPr>
              <w:jc w:val="center"/>
              <w:ind w:right="3340"/>
              <w:spacing w:after="0"/>
              <w:rPr>
                <w:sz w:val="20"/>
                <w:szCs w:val="20"/>
                <w:color w:val="auto"/>
              </w:rPr>
            </w:pPr>
            <w:r>
              <w:rPr>
                <w:rFonts w:ascii="Times New Roman" w:cs="Times New Roman" w:eastAsia="Times New Roman" w:hAnsi="Times New Roman"/>
                <w:sz w:val="16"/>
                <w:szCs w:val="16"/>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1A.</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Risk Factors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1B.</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Unresolved Staff Comments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IC.</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Cybersecurity</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2.</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Properties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3.</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Legal Proceedings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4.</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Mine Safety Disclosures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6.</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[Reserved]</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7.</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7A.</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8.</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9A.</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Controls and Procedures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9B.</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Other Information</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9C</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8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11.</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Executive Compensation</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12.</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13.</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14.</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60" w:type="dxa"/>
            <w:vAlign w:val="bottom"/>
            <w:tcBorders>
              <w:left w:val="single" w:sz="8" w:color="0000FF"/>
            </w:tcBorders>
            <w:gridSpan w:val="5"/>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16.</w:t>
            </w: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Form 10-K Summary</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620" w:type="dxa"/>
            <w:vAlign w:val="bottom"/>
            <w:tcBorders>
              <w:left w:val="single" w:sz="8" w:color="0000FF"/>
            </w:tcBorders>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Signatures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8980" w:type="dxa"/>
            <w:vAlign w:val="bottom"/>
            <w:gridSpan w:val="21"/>
          </w:tcPr>
          <w:p>
            <w:pPr>
              <w:spacing w:after="0" w:line="182" w:lineRule="exact"/>
              <w:rPr>
                <w:sz w:val="20"/>
                <w:szCs w:val="20"/>
                <w:color w:val="auto"/>
              </w:rPr>
            </w:pPr>
            <w:r>
              <w:rPr>
                <w:rFonts w:ascii="Times New Roman" w:cs="Times New Roman" w:eastAsia="Times New Roman" w:hAnsi="Times New Roman"/>
                <w:sz w:val="16"/>
                <w:szCs w:val="16"/>
                <w:color w:val="0000FF"/>
              </w:rPr>
              <w:t>Financial Statements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189" w:right="51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as defined in the Private Securities Litigation Reform Act of 1995, as amended. Forward-looking statements are all statements contained in this Annual Report that are not historical fact, and in some cases can be identified by terms such as: “anticipate,” “believe,” “estimate,” “expect,” “forecast,” “intend,” “may,” “plan,” “project,” “target,” "potential," “will” and other words and terms of similar meaning.</w:t>
      </w:r>
    </w:p>
    <w:p>
      <w:pPr>
        <w:spacing w:after="0" w:line="7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spacing w:after="0" w:line="6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reprioritization or realize any or all of the anticipated benefits once implemented;</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and fund our planned operations in the near term and our strategic reprioritization in the longer term;</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any strategic transactions, including, but not limited to, an acquisition, merger, reverse merger, sale of assets, strategic partnerships, capital raises or other transactions;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to support our strategic reprioritization or out-license our intellectual property and to comply with our existing license agreements;</w:t>
      </w:r>
    </w:p>
    <w:p>
      <w:pPr>
        <w:spacing w:after="0" w:line="5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collaborations and licenses;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54"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listed on the Nasdaq Capital Market;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33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level of activity, performance or achievements to be materially different from any future results, level of activity, performance or achievements expressed or implied by these forward-looking statements. Factors that may cause actual results, levels of activity or performance of achievements to differ materially from current expectations include, among other things, those described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7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“Alaunos,” the “Company,” “we,” “us” or “our” refer to Alaunos Therapeutics, Inc.</w:t>
      </w:r>
    </w:p>
    <w:p>
      <w:pPr>
        <w:spacing w:after="0" w:line="5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hunTR®, and Ziopharm® as well as the graphic trademark found on our website.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and ™ symbols, but we will assert, to the fullest extent under applicable law, our rights to our trademarks, service marks and trade names.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results of operations, cash flows and prospects could be materially and adversely affected. You should carefully review and consider the full discussion of our risk factors in the section titled “Risk Factors” in Part I, Item 1A of this Annual Report. Some of the more significant risks include the following:</w:t>
      </w:r>
    </w:p>
    <w:p>
      <w:pPr>
        <w:spacing w:after="0" w:line="69" w:lineRule="exact"/>
        <w:rPr>
          <w:sz w:val="20"/>
          <w:szCs w:val="20"/>
          <w:color w:val="auto"/>
        </w:rPr>
      </w:pPr>
    </w:p>
    <w:p>
      <w:pPr>
        <w:ind w:left="1020" w:right="70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strategic reprioritization may not be successful, may not yield the desired results and we may be unsuccessful in identifying and implementing any strategic transaction.</w:t>
      </w:r>
    </w:p>
    <w:p>
      <w:pPr>
        <w:spacing w:after="0" w:line="54" w:lineRule="exact"/>
        <w:rPr>
          <w:rFonts w:ascii="Times New Roman" w:cs="Times New Roman" w:eastAsia="Times New Roman" w:hAnsi="Times New Roman"/>
          <w:sz w:val="16"/>
          <w:szCs w:val="16"/>
          <w:color w:val="auto"/>
        </w:rPr>
      </w:pPr>
    </w:p>
    <w:p>
      <w:pPr>
        <w:ind w:left="1020" w:right="40" w:hanging="504"/>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69" w:lineRule="exact"/>
        <w:rPr>
          <w:rFonts w:ascii="Times New Roman" w:cs="Times New Roman" w:eastAsia="Times New Roman" w:hAnsi="Times New Roman"/>
          <w:sz w:val="16"/>
          <w:szCs w:val="16"/>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require substantial additional financial resources to continue as a going concern, including through the strategic review process, and if we raise additional funds it may affect the value of your investment in our common stock.</w:t>
      </w:r>
    </w:p>
    <w:p>
      <w:pPr>
        <w:spacing w:after="0" w:line="5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consummate a strategic transaction depends on our ability to retain our current employees and consultants.</w:t>
      </w:r>
    </w:p>
    <w:p>
      <w:pPr>
        <w:spacing w:after="0" w:line="116" w:lineRule="exact"/>
        <w:rPr>
          <w:rFonts w:ascii="Times New Roman" w:cs="Times New Roman" w:eastAsia="Times New Roman" w:hAnsi="Times New Roman"/>
          <w:sz w:val="16"/>
          <w:szCs w:val="16"/>
          <w:color w:val="auto"/>
        </w:rPr>
      </w:pPr>
    </w:p>
    <w:p>
      <w:pPr>
        <w:ind w:left="1020" w:right="52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corporate restructuring and the associated headcount reduction may not result in anticipated savings, could result in total costs and expenses that are greater than expected and could significantly disrupt our business.</w:t>
      </w:r>
    </w:p>
    <w:p>
      <w:pPr>
        <w:spacing w:after="0" w:line="54" w:lineRule="exact"/>
        <w:rPr>
          <w:rFonts w:ascii="Times New Roman" w:cs="Times New Roman" w:eastAsia="Times New Roman" w:hAnsi="Times New Roman"/>
          <w:sz w:val="16"/>
          <w:szCs w:val="16"/>
          <w:color w:val="auto"/>
        </w:rPr>
      </w:pPr>
    </w:p>
    <w:p>
      <w:pPr>
        <w:ind w:left="1020" w:right="38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become involved in litigation, including securities class action litigation, that could divert management’s attention and harm our business, and insurance coverage may not be sufficient to cover all costs and damages.</w:t>
      </w:r>
    </w:p>
    <w:p>
      <w:pPr>
        <w:spacing w:after="0" w:line="54" w:lineRule="exact"/>
        <w:rPr>
          <w:rFonts w:ascii="Times New Roman" w:cs="Times New Roman" w:eastAsia="Times New Roman" w:hAnsi="Times New Roman"/>
          <w:sz w:val="16"/>
          <w:szCs w:val="16"/>
          <w:color w:val="auto"/>
        </w:rPr>
      </w:pPr>
    </w:p>
    <w:p>
      <w:pPr>
        <w:ind w:left="1020" w:right="80" w:hanging="504"/>
        <w:spacing w:after="0" w:line="260"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received a Delisting Determination from Nasdaq in 2023 that while we have addressed with our recent reverse stock split and stock price trends, we remain subject to panel monitoring until February 2025, at any time during which we could be delisted again if we again fail to comply with the Minimum Bid Price Rule. Delisting could prevent us from maintaining an active, liquid and orderly trading market for our common stock and may impact our ability to consummate certain strategic transactions.</w:t>
      </w:r>
    </w:p>
    <w:p>
      <w:pPr>
        <w:spacing w:after="0" w:line="73" w:lineRule="exact"/>
        <w:rPr>
          <w:rFonts w:ascii="Times New Roman" w:cs="Times New Roman" w:eastAsia="Times New Roman" w:hAnsi="Times New Roman"/>
          <w:sz w:val="16"/>
          <w:szCs w:val="16"/>
          <w:color w:val="auto"/>
        </w:rPr>
      </w:pPr>
    </w:p>
    <w:p>
      <w:pPr>
        <w:ind w:left="1020" w:right="58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do not have approval by our shareholders for a second reverse stock split of our common stock to enable the Board of Directors to respond to a Panel if we fail to comply with the Minimum Bid Price Rule during the monitor period.</w:t>
      </w:r>
    </w:p>
    <w:p>
      <w:pPr>
        <w:spacing w:after="0" w:line="54" w:lineRule="exact"/>
        <w:rPr>
          <w:rFonts w:ascii="Times New Roman" w:cs="Times New Roman" w:eastAsia="Times New Roman" w:hAnsi="Times New Roman"/>
          <w:sz w:val="16"/>
          <w:szCs w:val="16"/>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Even if we do get approval and effectuate a second reverse stock split, the trading price of our common stock may not meet the Minimum Bid Price Rule.</w:t>
      </w:r>
    </w:p>
    <w:p>
      <w:pPr>
        <w:spacing w:after="0" w:line="54" w:lineRule="exact"/>
        <w:rPr>
          <w:rFonts w:ascii="Times New Roman" w:cs="Times New Roman" w:eastAsia="Times New Roman" w:hAnsi="Times New Roman"/>
          <w:sz w:val="16"/>
          <w:szCs w:val="16"/>
          <w:color w:val="auto"/>
        </w:rPr>
      </w:pPr>
    </w:p>
    <w:p>
      <w:pPr>
        <w:ind w:left="1020" w:right="18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light of the recent reverse stock split, or if we implement a second reverse stock split during the monitor period, liquidity of our common stock may be materially and adversely affected.</w:t>
      </w:r>
    </w:p>
    <w:p>
      <w:pPr>
        <w:spacing w:after="0" w:line="54" w:lineRule="exact"/>
        <w:rPr>
          <w:rFonts w:ascii="Times New Roman" w:cs="Times New Roman" w:eastAsia="Times New Roman" w:hAnsi="Times New Roman"/>
          <w:sz w:val="16"/>
          <w:szCs w:val="16"/>
          <w:color w:val="auto"/>
        </w:rPr>
      </w:pPr>
    </w:p>
    <w:p>
      <w:pPr>
        <w:ind w:left="1020" w:right="34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identify material weaknesses in the future or otherwise fail to maintain an effective internal controls system, which may result in material misstatements of our financial statements or have a material adverse effect on our business or stock price.</w:t>
      </w:r>
    </w:p>
    <w:p>
      <w:pPr>
        <w:spacing w:after="0" w:line="54" w:lineRule="exact"/>
        <w:rPr>
          <w:rFonts w:ascii="Times New Roman" w:cs="Times New Roman" w:eastAsia="Times New Roman" w:hAnsi="Times New Roman"/>
          <w:sz w:val="16"/>
          <w:szCs w:val="16"/>
          <w:color w:val="auto"/>
        </w:rPr>
      </w:pPr>
    </w:p>
    <w:p>
      <w:pPr>
        <w:ind w:left="1020" w:right="18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recent termination of our licenses and research and development agreement with the National Cancer Institute could limit our ability to resume our clinical trial or begin new clinical trials focused on TCR-T.</w:t>
      </w:r>
    </w:p>
    <w:p>
      <w:pPr>
        <w:spacing w:after="0" w:line="54" w:lineRule="exact"/>
        <w:rPr>
          <w:rFonts w:ascii="Times New Roman" w:cs="Times New Roman" w:eastAsia="Times New Roman" w:hAnsi="Times New Roman"/>
          <w:sz w:val="16"/>
          <w:szCs w:val="16"/>
          <w:color w:val="auto"/>
        </w:rPr>
      </w:pPr>
    </w:p>
    <w:p>
      <w:pPr>
        <w:ind w:left="1020" w:right="4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termination of our licenses with Precigen or MD Anderson or our research and development agreements with MD Anderson could result in the loss of significant rights and could materially harm our ability to develop and commercialize our product candidates.</w:t>
      </w:r>
    </w:p>
    <w:p>
      <w:pPr>
        <w:spacing w:after="0" w:line="54" w:lineRule="exact"/>
        <w:rPr>
          <w:rFonts w:ascii="Times New Roman" w:cs="Times New Roman" w:eastAsia="Times New Roman" w:hAnsi="Times New Roman"/>
          <w:sz w:val="16"/>
          <w:szCs w:val="16"/>
          <w:color w:val="auto"/>
        </w:rPr>
      </w:pPr>
    </w:p>
    <w:p>
      <w:pPr>
        <w:ind w:left="1020" w:right="44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Should we resume development of our product candidates, we may not be able to commercialize them, generate significant revenues, or attain profitability.</w:t>
      </w:r>
    </w:p>
    <w:p>
      <w:pPr>
        <w:spacing w:after="0" w:line="5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incur substantial liabilities and may be required to limit commercialization of our products in response to product liability lawsuits.</w:t>
      </w:r>
    </w:p>
    <w:p>
      <w:pPr>
        <w:spacing w:after="0" w:line="116" w:lineRule="exact"/>
        <w:rPr>
          <w:rFonts w:ascii="Times New Roman" w:cs="Times New Roman" w:eastAsia="Times New Roman" w:hAnsi="Times New Roman"/>
          <w:sz w:val="16"/>
          <w:szCs w:val="16"/>
          <w:color w:val="auto"/>
        </w:rPr>
      </w:pPr>
    </w:p>
    <w:p>
      <w:pPr>
        <w:ind w:left="1020" w:right="40" w:hanging="504"/>
        <w:spacing w:after="0" w:line="260"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relied and, should we in the future resume development of our product candidates, will rely significantly on information technology and any failure, inadequacy, interruption or security lapse of that technology or loss of data, including any cybersecurity incidents, could compromise sensitive information related to our business, prevent us from accessing critical information or expose us to liability which could harm our ability to operate our business effectively and materially and adversely affect our business and reputation.</w:t>
      </w:r>
    </w:p>
    <w:p>
      <w:pPr>
        <w:spacing w:after="0" w:line="73" w:lineRule="exact"/>
        <w:rPr>
          <w:rFonts w:ascii="Times New Roman" w:cs="Times New Roman" w:eastAsia="Times New Roman" w:hAnsi="Times New Roman"/>
          <w:sz w:val="16"/>
          <w:szCs w:val="16"/>
          <w:color w:val="auto"/>
        </w:rPr>
      </w:pPr>
    </w:p>
    <w:p>
      <w:pPr>
        <w:ind w:left="1020" w:right="44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Should we resume development of our product candidates, we may encounter difficulties enrolling patients in our clinical trials, and our clinical development activities could be delayed or otherwise materially and adversely affected.</w:t>
      </w:r>
    </w:p>
    <w:p>
      <w:pPr>
        <w:spacing w:after="0" w:line="54" w:lineRule="exact"/>
        <w:rPr>
          <w:rFonts w:ascii="Times New Roman" w:cs="Times New Roman" w:eastAsia="Times New Roman" w:hAnsi="Times New Roman"/>
          <w:sz w:val="16"/>
          <w:szCs w:val="16"/>
          <w:color w:val="auto"/>
        </w:rPr>
      </w:pPr>
    </w:p>
    <w:p>
      <w:pPr>
        <w:ind w:left="1020" w:right="340" w:hanging="504"/>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are subject to extensive regulation and compliance, which is costly and time consuming, and such regulation may cause unanticipated delays or prevent the receipt of the required approvals to commercialize our product candidates, should we resume development.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 w:name="page6"/>
    <w:bookmarkEnd w:id="5"/>
    <w:p>
      <w:pPr>
        <w:ind w:left="504" w:right="80" w:hanging="504"/>
        <w:spacing w:after="0" w:line="260"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halted development of our product candidates early in our development efforts. Our most advanced product candidates were only in an early-stage clinical trial, which is very expensive and time-consuming. We cannot be certain if or when we will be able to submit a Biologics License Application, or BLA, to the U.S. Food and Drug Administration, or the FDA, and the delay, or any failure, in completing clinical trials for our product candidates could significantly harm our business.</w:t>
      </w:r>
    </w:p>
    <w:p>
      <w:pPr>
        <w:spacing w:after="0" w:line="73" w:lineRule="exact"/>
        <w:rPr>
          <w:rFonts w:ascii="Times New Roman" w:cs="Times New Roman" w:eastAsia="Times New Roman" w:hAnsi="Times New Roman"/>
          <w:sz w:val="16"/>
          <w:szCs w:val="16"/>
          <w:color w:val="auto"/>
        </w:rPr>
      </w:pPr>
    </w:p>
    <w:p>
      <w:pPr>
        <w:ind w:left="504" w:right="2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2" w:lineRule="exact"/>
        <w:rPr>
          <w:rFonts w:ascii="Times New Roman" w:cs="Times New Roman" w:eastAsia="Times New Roman" w:hAnsi="Times New Roman"/>
          <w:sz w:val="16"/>
          <w:szCs w:val="16"/>
          <w:color w:val="auto"/>
        </w:rPr>
      </w:pPr>
    </w:p>
    <w:p>
      <w:pPr>
        <w:ind w:left="504" w:right="200" w:hanging="504"/>
        <w:spacing w:after="0" w:line="283"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The gene transfer vectors from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used to manufacture our product candidates may incorrectly modify the genetic material of a patient’s T cells, potentially triggering the development of a new cancer or other adverse events.</w:t>
      </w:r>
    </w:p>
    <w:p>
      <w:pPr>
        <w:spacing w:after="0" w:line="53" w:lineRule="exact"/>
        <w:rPr>
          <w:rFonts w:ascii="Times New Roman" w:cs="Times New Roman" w:eastAsia="Times New Roman" w:hAnsi="Times New Roman"/>
          <w:sz w:val="16"/>
          <w:szCs w:val="16"/>
          <w:color w:val="auto"/>
        </w:rPr>
      </w:pPr>
    </w:p>
    <w:p>
      <w:pPr>
        <w:ind w:left="504" w:right="220" w:hanging="504"/>
        <w:spacing w:after="0" w:line="265"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Should we resume development of our product candidates, any candidate for which we obtain marketing approval could be subject to post-marketing restrictions or withdrawal from the market and we may be subject to significant penalties if we fail to comply with regulatory requirements or if we experience unanticipated problems with our products, when and if any of them are approved.</w:t>
      </w:r>
    </w:p>
    <w:p>
      <w:pPr>
        <w:spacing w:after="0" w:line="69" w:lineRule="exact"/>
        <w:rPr>
          <w:rFonts w:ascii="Times New Roman" w:cs="Times New Roman" w:eastAsia="Times New Roman" w:hAnsi="Times New Roman"/>
          <w:sz w:val="16"/>
          <w:szCs w:val="16"/>
          <w:color w:val="auto"/>
        </w:rPr>
      </w:pPr>
    </w:p>
    <w:p>
      <w:pPr>
        <w:ind w:left="504" w:right="30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Should we resume development of our product candidates, our inability to obtain the necessary U.S. or worldwide regulatory approvals to commercialize any product candidate, our business will suffer materially.</w:t>
      </w:r>
    </w:p>
    <w:p>
      <w:pPr>
        <w:spacing w:after="0" w:line="54" w:lineRule="exact"/>
        <w:rPr>
          <w:rFonts w:ascii="Times New Roman" w:cs="Times New Roman" w:eastAsia="Times New Roman" w:hAnsi="Times New Roman"/>
          <w:sz w:val="16"/>
          <w:szCs w:val="16"/>
          <w:color w:val="auto"/>
        </w:rPr>
      </w:pPr>
    </w:p>
    <w:p>
      <w:pPr>
        <w:ind w:left="504" w:right="40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4" w:lineRule="exact"/>
        <w:rPr>
          <w:rFonts w:ascii="Times New Roman" w:cs="Times New Roman" w:eastAsia="Times New Roman" w:hAnsi="Times New Roman"/>
          <w:sz w:val="16"/>
          <w:szCs w:val="16"/>
          <w:color w:val="auto"/>
        </w:rPr>
      </w:pPr>
    </w:p>
    <w:p>
      <w:pPr>
        <w:ind w:left="504" w:right="42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physicians and patients do not accept and use our product candidates, once approved, our ability to generate revenue from sales of our products will be materially and adversely impaired.</w:t>
      </w:r>
    </w:p>
    <w:p>
      <w:pPr>
        <w:spacing w:after="0" w:line="54" w:lineRule="exact"/>
        <w:rPr>
          <w:rFonts w:ascii="Times New Roman" w:cs="Times New Roman" w:eastAsia="Times New Roman" w:hAnsi="Times New Roman"/>
          <w:sz w:val="16"/>
          <w:szCs w:val="16"/>
          <w:color w:val="auto"/>
        </w:rPr>
      </w:pPr>
    </w:p>
    <w:p>
      <w:pPr>
        <w:ind w:left="504" w:hanging="504"/>
        <w:spacing w:after="0"/>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generate product revenues will be diminished if our products do not obtain coverage and adequate reimbursement from payors.</w:t>
      </w:r>
    </w:p>
    <w:p>
      <w:pPr>
        <w:spacing w:after="0" w:line="116" w:lineRule="exact"/>
        <w:rPr>
          <w:rFonts w:ascii="Times New Roman" w:cs="Times New Roman" w:eastAsia="Times New Roman" w:hAnsi="Times New Roman"/>
          <w:sz w:val="16"/>
          <w:szCs w:val="16"/>
          <w:color w:val="auto"/>
        </w:rPr>
      </w:pPr>
    </w:p>
    <w:p>
      <w:pPr>
        <w:ind w:left="504"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market opportunities for our product candidates may be limited to those patients who are ineligible for or have failed prior treatments and may be small.</w:t>
      </w:r>
    </w:p>
    <w:p>
      <w:pPr>
        <w:spacing w:after="0" w:line="54" w:lineRule="exact"/>
        <w:rPr>
          <w:rFonts w:ascii="Times New Roman" w:cs="Times New Roman" w:eastAsia="Times New Roman" w:hAnsi="Times New Roman"/>
          <w:sz w:val="16"/>
          <w:szCs w:val="16"/>
          <w:color w:val="auto"/>
        </w:rPr>
      </w:pPr>
    </w:p>
    <w:p>
      <w:pPr>
        <w:ind w:left="504" w:right="38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immuno-oncology product candidates may face competition in the future from biosimilars and/or new technologies and our pending patent applications may not be granted, further limiting our ability to compete with other companies.</w:t>
      </w:r>
    </w:p>
    <w:p>
      <w:pPr>
        <w:spacing w:after="0" w:line="54" w:lineRule="exact"/>
        <w:rPr>
          <w:rFonts w:ascii="Times New Roman" w:cs="Times New Roman" w:eastAsia="Times New Roman" w:hAnsi="Times New Roman"/>
          <w:sz w:val="16"/>
          <w:szCs w:val="16"/>
          <w:color w:val="auto"/>
        </w:rPr>
      </w:pPr>
    </w:p>
    <w:p>
      <w:pPr>
        <w:ind w:left="504" w:right="4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materially impaired.</w:t>
      </w:r>
    </w:p>
    <w:p>
      <w:pPr>
        <w:spacing w:after="0" w:line="54" w:lineRule="exact"/>
        <w:rPr>
          <w:rFonts w:ascii="Times New Roman" w:cs="Times New Roman" w:eastAsia="Times New Roman" w:hAnsi="Times New Roman"/>
          <w:sz w:val="16"/>
          <w:szCs w:val="16"/>
          <w:color w:val="auto"/>
        </w:rPr>
      </w:pPr>
    </w:p>
    <w:p>
      <w:pPr>
        <w:ind w:left="504" w:right="36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Third-party claims of intellectual property infringement would require us to spend significant time and money and could prevent us from developing or commercializing our products.</w:t>
      </w:r>
    </w:p>
    <w:p>
      <w:pPr>
        <w:spacing w:after="0" w:line="54" w:lineRule="exact"/>
        <w:rPr>
          <w:rFonts w:ascii="Times New Roman" w:cs="Times New Roman" w:eastAsia="Times New Roman" w:hAnsi="Times New Roman"/>
          <w:sz w:val="16"/>
          <w:szCs w:val="16"/>
          <w:color w:val="auto"/>
        </w:rPr>
      </w:pPr>
    </w:p>
    <w:p>
      <w:pPr>
        <w:ind w:left="504" w:right="240" w:hanging="504"/>
        <w:spacing w:after="0" w:line="265"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9" w:lineRule="exact"/>
        <w:rPr>
          <w:rFonts w:ascii="Times New Roman" w:cs="Times New Roman" w:eastAsia="Times New Roman" w:hAnsi="Times New Roman"/>
          <w:sz w:val="16"/>
          <w:szCs w:val="16"/>
          <w:color w:val="auto"/>
        </w:rPr>
      </w:pPr>
    </w:p>
    <w:p>
      <w:pPr>
        <w:ind w:left="504" w:hanging="504"/>
        <w:spacing w:after="0"/>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stock price has been, and may continue to be, volatile.</w:t>
      </w:r>
    </w:p>
    <w:p>
      <w:pPr>
        <w:spacing w:after="0" w:line="116" w:lineRule="exact"/>
        <w:rPr>
          <w:rFonts w:ascii="Times New Roman" w:cs="Times New Roman" w:eastAsia="Times New Roman" w:hAnsi="Times New Roman"/>
          <w:sz w:val="16"/>
          <w:szCs w:val="16"/>
          <w:color w:val="auto"/>
        </w:rPr>
      </w:pPr>
    </w:p>
    <w:p>
      <w:pPr>
        <w:ind w:left="504" w:right="24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Anti-takeover provisions in our charter documents and under Delaware law may make an acquisition of us, which may be beneficial to our stockholders, more difficult.</w:t>
      </w:r>
    </w:p>
    <w:p>
      <w:pPr>
        <w:spacing w:after="0" w:line="54" w:lineRule="exact"/>
        <w:rPr>
          <w:rFonts w:ascii="Times New Roman" w:cs="Times New Roman" w:eastAsia="Times New Roman" w:hAnsi="Times New Roman"/>
          <w:sz w:val="16"/>
          <w:szCs w:val="16"/>
          <w:color w:val="auto"/>
        </w:rPr>
      </w:pPr>
    </w:p>
    <w:p>
      <w:pPr>
        <w:ind w:left="504" w:hanging="504"/>
        <w:spacing w:after="0" w:line="265"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504" w:right="26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Because we do not expect to pay dividends, you will not realize any income from an investment in our common stock unless and until you sell your shares at a profit.</w:t>
      </w:r>
    </w:p>
    <w:p>
      <w:pPr>
        <w:spacing w:after="0" w:line="54" w:lineRule="exact"/>
        <w:rPr>
          <w:rFonts w:ascii="Times New Roman" w:cs="Times New Roman" w:eastAsia="Times New Roman" w:hAnsi="Times New Roman"/>
          <w:sz w:val="16"/>
          <w:szCs w:val="16"/>
          <w:color w:val="auto"/>
        </w:rPr>
      </w:pPr>
    </w:p>
    <w:p>
      <w:pPr>
        <w:ind w:left="504" w:hanging="504"/>
        <w:spacing w:after="0"/>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use net operating loss carryforwards and research tax credits to reduce future tax payments may be limited or restricted.</w:t>
      </w:r>
    </w:p>
    <w:p>
      <w:pPr>
        <w:spacing w:after="0" w:line="116" w:lineRule="exact"/>
        <w:rPr>
          <w:rFonts w:ascii="Times New Roman" w:cs="Times New Roman" w:eastAsia="Times New Roman" w:hAnsi="Times New Roman"/>
          <w:sz w:val="16"/>
          <w:szCs w:val="16"/>
          <w:color w:val="auto"/>
        </w:rPr>
      </w:pPr>
    </w:p>
    <w:p>
      <w:pPr>
        <w:ind w:left="504" w:right="26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exercise of outstanding warrants, and issuance of equity awards may have a dilutive effect on our stock, and negatively and materially impact the price of our common stock.</w:t>
      </w:r>
    </w:p>
    <w:p>
      <w:pPr>
        <w:spacing w:after="0" w:line="54" w:lineRule="exact"/>
        <w:rPr>
          <w:rFonts w:ascii="Times New Roman" w:cs="Times New Roman" w:eastAsia="Times New Roman" w:hAnsi="Times New Roman"/>
          <w:sz w:val="16"/>
          <w:szCs w:val="16"/>
          <w:color w:val="auto"/>
        </w:rPr>
      </w:pPr>
    </w:p>
    <w:p>
      <w:pPr>
        <w:ind w:left="504" w:right="340" w:hanging="504"/>
        <w:spacing w:after="0" w:line="312"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principal stockholders, executive officers and directors have substantial control over the Company, which may prevent you and other stockholders from influencing significant corporate decisions and may significantly harm the market price of our common stock.</w:t>
      </w:r>
    </w:p>
    <w:p>
      <w:pPr>
        <w:spacing w:after="0" w:line="28" w:lineRule="exact"/>
        <w:rPr>
          <w:rFonts w:ascii="Times New Roman" w:cs="Times New Roman" w:eastAsia="Times New Roman" w:hAnsi="Times New Roman"/>
          <w:sz w:val="16"/>
          <w:szCs w:val="16"/>
          <w:color w:val="auto"/>
        </w:rPr>
      </w:pPr>
    </w:p>
    <w:p>
      <w:pPr>
        <w:ind w:left="504" w:right="340" w:hanging="504"/>
        <w:spacing w:after="0" w:line="281" w:lineRule="auto"/>
        <w:tabs>
          <w:tab w:leader="none" w:pos="50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are a “smaller reporting company,” and the reduced disclosure requirements applicable to smaller reporting companies may make our common stock less attractive to investors.</w:t>
      </w:r>
    </w:p>
    <w:p>
      <w:pPr>
        <w:spacing w:after="0" w:line="163"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483870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4"/>
          </w:cols>
          <w:pgMar w:left="836" w:top="107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oncology-focused cell therapy company that was historically involved in developing adoptive T-cell receptor, or TCR, engineered T-cell therapies, or TCR-T, designed to treat multiple solid tumor types in large cancer patient populations with unmet clinical needs. We leveraged our cancer hotspot mutation TCR library and our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to design and manufacture patient-specific cell therapies that target neoantigens arising from common tumor-related 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The University of Texas MD Anderson Cancer Center, or MD Anderson, we were enrolling and treating patients for a Phase 1/2 clinical trial evaluating 12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14, 2023, the Company announced a strategic reprioritization of its business and wind down of its TCR-T Library Phase 1/2 Trial. In connection with the reprioritization, the Company has reduced its workforce by approximately 95% to date and continues working to reduce costs in order to extend its cash runway. The Company continues to explore strategic alternatives, including, but not limited to, an acquisition, merger, reverse merger, sale of assets, strategic partnerships, capital raises or other transactions. The Company has engaged Cantor Fitzgerald &amp; Co., or Cantor, to act as strategic advisor for this process. Separately, the Company is evaluating several potential in-licensing opportunities in obesity, oncology and virology. In addition, on August 14, 2023, we announced that we had provided the requisite notice to the National Cancer Institute, or NCI, to terminate the Cooperative Research and Development Agreement, dated January 9, 2017, by and among us, the NCI and Intrexon Corporation, or Intrexon, as amended (such agreement referred to herein as the CRADA), pursuant to its terms, effective October 13, 2023.</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Eight patients were treated and evaluated in our TCR-T Library Phase 1/2 Trial with three unique TCRs from our library, which targeted KRAS-G12D, TP5304175H, and KRAS-G12V hotspot mutations. Patients with pancreatic (3), colorectal (4) and non-small cell lung cancer (1) were treated, with certain pancreatic and colorectal patients also having lung metastases. Overall, the trial showed our T-cells were generally well-tolerated in all evaluable participants with no dose-limiting toxicities (DLTs) and no immune effector cell-associated neurotoxicity syndrome (ICANS) were observed. All cytokine release syndrome (CRS) events were within grades 1-3 and were self-limiting or resolved with standard clinical management and, in some cases, a single dose of tocilizumab.</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One patient with non-small cell lung cancer (NSCLC) achieved an objective partial response with six months progression-free survival. Six other patients achieved a best overall response of stable disease. The total overall response rate was 13% and disease control rate was 87% in evaluable patients with advanced, metastatic, refractory solid tumors (see Figure A). Disease control was measured by objective responses and stable disease. Increased secretion of interferon-gamma relative to baseline was detected in all patients' serum post-cell transfer suggesting recognition of the tumor by the infused TCR-T cells. Persistence of TCR-T cells in peripheral blood was detected in all evaluable patients at their last follow-up, including up to six months in one patient. Infiltration of TCR-T cells into the tumor was also detected in three samples where a fresh biopsy was collected suggesting homing to the tumor microenvironment. All patients have progressed or withdrawn from the trial and long-term follow-up is ongoing for a subset of patients with no further intervention per the treatment protocol. This trial established proof-of-concept that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cells can result in objective clinical responses and recognize established tumors in vivo.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469765" cy="2329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69765" cy="232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 w:name="page8"/>
    <w:bookmarkEnd w:id="7"/>
    <w:p>
      <w:pPr>
        <w:ind w:right="40"/>
        <w:spacing w:after="0" w:line="281" w:lineRule="auto"/>
        <w:rPr>
          <w:sz w:val="20"/>
          <w:szCs w:val="20"/>
          <w:color w:val="auto"/>
        </w:rPr>
      </w:pPr>
      <w:r>
        <w:rPr>
          <w:rFonts w:ascii="Times New Roman" w:cs="Times New Roman" w:eastAsia="Times New Roman" w:hAnsi="Times New Roman"/>
          <w:sz w:val="18"/>
          <w:szCs w:val="18"/>
          <w:color w:val="auto"/>
        </w:rPr>
        <w:t>Despite the encouraging TCR-T Library Phase 1/2 Trial data, based on the substantial cost to continue development and the current financing environment, we announced in August 2023 that we would not pursue any further development of our clinical programs.</w:t>
      </w:r>
    </w:p>
    <w:p>
      <w:pPr>
        <w:spacing w:after="0" w:line="5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the United States, solid tumors represent approximately 90% of new cancer diagnoses. Approximately 2.0 million people are expected to be diagnosed with cancer in the United States in 2023 and approximately 610,000 people are expected to die from cancer in the United States in 2023. Some of the cancers we targeted in our TCR-T Library Phase 1/2 Trial are expected to be among the most prevalent cancers diagnosed in the United States in 2023. In 2023, it was estimated that 238,340 people were expected to be diagnosed with lung and bronchus cancer, 153,020 were expected to be diagnosed with colorectal cancer, 66,200 people were expected to be diagnosed with endometrial cancer, 64,050 people were expected to be diagnosed with pancreatic cancer, 19,710 people were expected be diagnosed with ovarian cancer and approximately 8,000 people were expected to be diagnosed with bile duct cancer. Mutations of the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genes are commonly expressed across a wide variety of cancers.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TCR-T Library Phase 1/2 Trial Approach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multiple solid tumor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85725</wp:posOffset>
            </wp:positionV>
            <wp:extent cx="5428615" cy="2063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8615" cy="206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TCR-T program targeting solid tumors consisted of:</w:t>
      </w:r>
    </w:p>
    <w:p>
      <w:pPr>
        <w:spacing w:after="0" w:line="115" w:lineRule="exact"/>
        <w:rPr>
          <w:sz w:val="20"/>
          <w:szCs w:val="20"/>
          <w:color w:val="auto"/>
        </w:rPr>
      </w:pPr>
    </w:p>
    <w:p>
      <w:pPr>
        <w:ind w:left="760" w:right="100" w:hanging="378"/>
        <w:spacing w:after="0" w:line="314"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TCR Library</w:t>
      </w:r>
      <w:r>
        <w:rPr>
          <w:rFonts w:ascii="Times New Roman" w:cs="Times New Roman" w:eastAsia="Times New Roman" w:hAnsi="Times New Roman"/>
          <w:sz w:val="17"/>
          <w:szCs w:val="17"/>
          <w:color w:val="auto"/>
        </w:rPr>
        <w:t>: We built a TCR library that targets shared hotspot mutations known to be one of the key causes of cancer. These are non-inherited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mutations. We in-licensed from the NCI multiple TCRs derived from third parties that are reactive to mutated </w:t>
      </w:r>
      <w:r>
        <w:rPr>
          <w:rFonts w:ascii="Times New Roman" w:cs="Times New Roman" w:eastAsia="Times New Roman" w:hAnsi="Times New Roman"/>
          <w:sz w:val="17"/>
          <w:szCs w:val="17"/>
          <w:i w:val="1"/>
          <w:iCs w:val="1"/>
          <w:color w:val="auto"/>
        </w:rPr>
        <w:t>KRAS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color w:val="auto"/>
        </w:rPr>
        <w:t>.</w:t>
      </w:r>
    </w:p>
    <w:p>
      <w:pPr>
        <w:spacing w:after="0" w:line="27" w:lineRule="exact"/>
        <w:rPr>
          <w:rFonts w:ascii="Times New Roman" w:cs="Times New Roman" w:eastAsia="Times New Roman" w:hAnsi="Times New Roman"/>
          <w:sz w:val="17"/>
          <w:szCs w:val="17"/>
          <w:color w:val="auto"/>
        </w:rPr>
      </w:pPr>
    </w:p>
    <w:p>
      <w:pPr>
        <w:ind w:left="760" w:right="180" w:hanging="378"/>
        <w:spacing w:after="0" w:line="28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Sleeping Beauty Gene Transfer Platform</w:t>
      </w:r>
      <w:r>
        <w:rPr>
          <w:rFonts w:ascii="Times New Roman" w:cs="Times New Roman" w:eastAsia="Times New Roman" w:hAnsi="Times New Roman"/>
          <w:sz w:val="18"/>
          <w:szCs w:val="18"/>
          <w:color w:val="auto"/>
        </w:rPr>
        <w:t>: Our proprietary non-viral genetic engineering technology utilizes a particular enzyme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transposase to cut and paste donor DNA referred to as a transposon into chromosomes of a T cell using a process called transposition.</w:t>
      </w:r>
    </w:p>
    <w:p>
      <w:pPr>
        <w:spacing w:after="0" w:line="49" w:lineRule="exact"/>
        <w:rPr>
          <w:rFonts w:ascii="Times New Roman" w:cs="Times New Roman" w:eastAsia="Times New Roman" w:hAnsi="Times New Roman"/>
          <w:sz w:val="18"/>
          <w:szCs w:val="18"/>
          <w:color w:val="auto"/>
        </w:rPr>
      </w:pPr>
    </w:p>
    <w:p>
      <w:pPr>
        <w:ind w:left="760" w:right="40" w:hanging="378"/>
        <w:spacing w:after="0" w:line="26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hunTR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hu</w:t>
      </w:r>
      <w:r>
        <w:rPr>
          <w:rFonts w:ascii="Times New Roman" w:cs="Times New Roman" w:eastAsia="Times New Roman" w:hAnsi="Times New Roman"/>
          <w:sz w:val="18"/>
          <w:szCs w:val="18"/>
          <w:color w:val="auto"/>
        </w:rPr>
        <w:t>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8"/>
          <w:szCs w:val="18"/>
          <w:color w:val="auto"/>
        </w:rPr>
        <w:t>eoantigen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eceptor)</w:t>
      </w:r>
      <w:r>
        <w:rPr>
          <w:rFonts w:ascii="Times New Roman" w:cs="Times New Roman" w:eastAsia="Times New Roman" w:hAnsi="Times New Roman"/>
          <w:sz w:val="18"/>
          <w:szCs w:val="18"/>
          <w:i w:val="1"/>
          <w:iCs w:val="1"/>
          <w:color w:val="auto"/>
        </w:rPr>
        <w:t xml:space="preserve"> Discovery Engine</w:t>
      </w:r>
      <w:r>
        <w:rPr>
          <w:rFonts w:ascii="Times New Roman" w:cs="Times New Roman" w:eastAsia="Times New Roman" w:hAnsi="Times New Roman"/>
          <w:sz w:val="18"/>
          <w:szCs w:val="18"/>
          <w:color w:val="auto"/>
        </w:rPr>
        <w:t>: Our robust and innovative TCR discovery engine enabled us to rapidly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TCRs to add to the TCR library. Using our </w:t>
      </w:r>
      <w:r>
        <w:rPr>
          <w:rFonts w:ascii="Times New Roman" w:cs="Times New Roman" w:eastAsia="Times New Roman" w:hAnsi="Times New Roman"/>
          <w:sz w:val="18"/>
          <w:szCs w:val="18"/>
          <w:i w:val="1"/>
          <w:iCs w:val="1"/>
          <w:color w:val="auto"/>
        </w:rPr>
        <w:t>hunTR</w:t>
      </w:r>
      <w:r>
        <w:rPr>
          <w:rFonts w:ascii="Times New Roman" w:cs="Times New Roman" w:eastAsia="Times New Roman" w:hAnsi="Times New Roman"/>
          <w:sz w:val="18"/>
          <w:szCs w:val="18"/>
          <w:color w:val="auto"/>
        </w:rPr>
        <w:t xml:space="preserve"> discovery engine, we were able to analyze thousands of single T cells simultaneously using state-of-the-art bioinformatics and next generation sequencing. We aimed to maximize the breadth of our TCR library by evaluating both helper (CD4) and killer (CD8) T cells.</w:t>
      </w:r>
    </w:p>
    <w:p>
      <w:pPr>
        <w:spacing w:after="0" w:line="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our TCR-T program has several potential advantages over other cell therapy approaches for solid tumors, including CAR-T and tumor-infiltrating lymphocytes, or TIL. As compared to CAR-T, these potential advantages include that our TCR-T program targeted intracellular and extracellular neoantigens whereas CAR-T primarily targets extracellular antigens. As compared to TIL, these potential advantages include that our TCR-T program defined target specificity from the genetic engineering employed in manufacturing whereas in TIL specificity typically arises from the endogenous TCR rather than an introduced immunoreceptor.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TCRs</w:t>
      </w:r>
    </w:p>
    <w:p>
      <w:pPr>
        <w:spacing w:after="0" w:line="12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Our strategy was to target the hallmark of genomic instability in cancer with TCRs. Genes in cancer cells can lead to the production of proteins, which are then processed by the cell into protein fragments known as peptides. These peptides are presented to T cells by a specialized set of molecules on the cancer cell surface called the human leukocyte antigen, or HLA, system. When peptide presentation occurs, and it results in T cell activation through the TCR, the peptides are known as antigens.</w:t>
      </w:r>
    </w:p>
    <w:p>
      <w:pPr>
        <w:spacing w:after="0" w:line="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When these immunogenic peptides are derived from proteins which are in turn expressed from genes that are mutated only in tumor cells (for example, within the cancer genome and not encoded in the germline), they are known as neoantigens. Tumor cells presenting neoantigens via</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6" w:right="359" w:bottom="1440" w:gutter="0" w:footer="0" w:header="0"/>
        </w:sectPr>
      </w:pPr>
    </w:p>
    <w:bookmarkStart w:id="8" w:name="page9"/>
    <w:bookmarkEnd w:id="8"/>
    <w:p>
      <w:pPr>
        <w:ind w:right="400"/>
        <w:spacing w:after="0" w:line="281" w:lineRule="auto"/>
        <w:rPr>
          <w:sz w:val="20"/>
          <w:szCs w:val="20"/>
          <w:color w:val="auto"/>
        </w:rPr>
      </w:pPr>
      <w:r>
        <w:rPr>
          <w:rFonts w:ascii="Times New Roman" w:cs="Times New Roman" w:eastAsia="Times New Roman" w:hAnsi="Times New Roman"/>
          <w:sz w:val="18"/>
          <w:szCs w:val="18"/>
          <w:color w:val="auto"/>
        </w:rPr>
        <w:t>HLA are targets for T cells. T cells can recognize and kill neoantigen-presenting cancer cells. This approach is different from traditional CARs, which directly recognize antigens, such as CD19, on the surface of malignant B cells, without presentation by HLA.</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general, the immune system avoids targeting the body’s own healthy cells principally through processes known as immune tolerance by which T cells do not respond to HLA containing peptides from normal proteins. The recognition by the TCR of a peptide presented by the HLA system is a vital immune mechanism that allows the body both to respond against foreign threats, including cancer, as well as to avoid targeting the body’s own healthy cells.</w:t>
      </w:r>
    </w:p>
    <w:p>
      <w:pPr>
        <w:spacing w:after="0" w:line="6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Tumors utilize a variety of strategies to evade and suppress the host immune system. This often renders T cells residing within the tumor, referred to as TILs, ineffective and, despite expressing tumor-specific TCRs, unable to recycle their effector functions to kill tumors. To overcome immune suppression, healthier T cells are likely needed, such as those found in the peripheral blood. However, these circulating T cells do not typically express tumor-specific TCRs in adequate numbers.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Neoantigens are encoded by tumor-specific mutated genes that are often unique to each patient. Targeting these unique neoantigens requires TCRs that are generated on a patient-by-patient basis. During cancer initiation and progression, tumor cells acquire mutations in naturally occurring genes that are responsible for transformation, known as driver mutations. Some of these driver mutations occur in common places called hotspots and are a class of mutations shared between tumor types and between individuals. Since driver mutations can be anticipated, it is possible to prepare TCRs in advance of a patient’s need and form a library of banked TCRs.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Targeting Neoantigens</w:t>
      </w:r>
    </w:p>
    <w:p>
      <w:pPr>
        <w:spacing w:after="0" w:line="12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We believe that to be successful in treating solid tumors, genetically modified T cells targeting one or more neoantigens will likely need to address the fact that (1) among a population of patients, not all tumors express the targeted neoantigen, referred to as inter-tumor heterogeneity, and (2) within a single patient, not all tumor cells express the targeted antigen, referred to as intra-tumor heterogeneity. Inter-tumor heterogeneity limits the number of recipients that are eligible to receive a treatment and intra-tumor heterogeneity creates the risk of antigen-escape variants, increasing the likelihood of cancer relapse. As a result, we believe companies developing T cell therapies targeting neoantigens must address both inter- and intra-tumor heterogeneity.</w:t>
      </w:r>
    </w:p>
    <w:p>
      <w:pPr>
        <w:spacing w:after="0" w:line="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genetically modified peripheral blood-derived T cells to express TCRs with specificity to tumor-derived antigens, especially neoantigens, and propagated them to sufficient numbers prior to administration. We aimed to overcome the key challenges of targeting neoantigens by using DNA plasmids to reprogram T cells to express introduced TCRs on a patient-by-patient basis. This was designed to help address tumor heterogeneity.</w:t>
      </w:r>
    </w:p>
    <w:p>
      <w:pPr>
        <w:spacing w:after="0" w:line="6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TCR-T cells contained multiple different subsets of T cells, including effector and memory T cells. The effector T cells were associated with immediate anti-tumor activity. Memory T cells have greater growth potential relative to the effector T cells. Some of our TCR-T cells were T memory stem cells, which have been described to have the largest capacity for growth and renewal relative to other T-cell populations.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TCR-T Manufacturing Process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diagram below illustrates our manufacturing process for our TCR-T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85725</wp:posOffset>
            </wp:positionV>
            <wp:extent cx="4101465" cy="2868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01465"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TCR-T approach focused on what we believed to be the most critical and prevalent tumor-specific targets in cancer. These target mutations, called hotspots, are prevalent in genes including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which can be found in non-small cell lung, colorectal, endometrial, pancreatic, ovarian and bile duct cancers in several different HLA alleles. These driver genes play a key role in regulating cell division, maturation and death, and mutations in these genes have been observed to play a critical role in the development of certain cancers. The advantage of our Library TCR-T approach was that subsets of patients with solid tumors could potentially be rapidly treated by screening them for targeted neoantigens (e.g.,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identifying patient HLA, and matching these results to the TCRs in the library. Patients with a variety of different cancers (e.g., non-small cell lung, colorectal, endometrial, pancreatic, ovarian and bile duct cancers) could be screened for a match to our TCR library through tumor sequencing and identification of the patient’s tumor mutation and HLA typing. Once a match to our TCR library was confirmed, a portion of the patient’s white blood cells was collected through a peripheral blood leukapheresis and sent to our in-house current Good Manufacturing Practices, or cGMP, manufacturing facility in Houston, Texas.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Once the desired pre-manufactured TCR transposon was selected from our TCR library, we utilized our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genetic engineering technology to modify the patient’s T cells (both CD4+ and CD8+). We used T cells from peripheral blood, which have a younger and healthier phenotype relative to tumor-resident T cells, to generate our TCR-T cells. Given initial clinical cellular kinetics of the TCR-T cells in the patients treated to date, we believed these modified TCR-T cells would persist in the recipient following infusion. We observed in preclinical studies that genetic engineering of T cells by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resulted in the rapid and stable expression of the introduced neoantigen-specific TCR. The genetically modified T cells expressing high levels of the TCR were expanded to produce the patient-specific, or autologous, TCR-T cell product. The product candidate was then harvested from the manufacturing process, formulated, cryopreserved, transferred to the hospital facility and infused in the patient after thawing.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Non-Viral Sleeping Beauty Gene Transfer Platform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provides several benefits, including those described below.</w:t>
      </w:r>
    </w:p>
    <w:p>
      <w:pPr>
        <w:spacing w:after="0" w:line="117" w:lineRule="exact"/>
        <w:rPr>
          <w:sz w:val="20"/>
          <w:szCs w:val="20"/>
          <w:color w:val="auto"/>
        </w:rPr>
      </w:pPr>
    </w:p>
    <w:p>
      <w:pPr>
        <w:ind w:left="380" w:right="120" w:hanging="372"/>
        <w:spacing w:after="0" w:line="254"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 and Reduction in Complexity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 xml:space="preserve">technology is a straightforward means to manufacture a large number of autologous T-cell products. The technology requires only the synthesis of DNA plasmids as the starting material for genetic engineering of the T cells. In contrast, traditional viral gene transfer is more complex and requires specialized manufacturing of each viral vector(s) of interest. Production of a viral vector starts with the generation of plasmid DNA with the transgene of interest. This plasmid is then introduced into a packaging cell line and viruses are secreted into the media over a couple of days. This process is inherently more complex to scale with the numbers of cells and associated media required relative to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which only requires the plasmid DNA. Genetic modification of the patient cells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is accomplished through electroporation with the DNA plasmids and subsequent culture, selection and growth of the T cells to large numbers using traditional manufacturing techniques. This simple process can be scaled through the addition of manufacturing lines.</w:t>
      </w:r>
    </w:p>
    <w:p>
      <w:pPr>
        <w:spacing w:after="0" w:line="81" w:lineRule="exact"/>
        <w:rPr>
          <w:rFonts w:ascii="Times New Roman" w:cs="Times New Roman" w:eastAsia="Times New Roman" w:hAnsi="Times New Roman"/>
          <w:sz w:val="18"/>
          <w:szCs w:val="18"/>
          <w:color w:val="auto"/>
        </w:rPr>
      </w:pPr>
    </w:p>
    <w:p>
      <w:pPr>
        <w:ind w:left="380" w:right="460" w:hanging="372"/>
        <w:spacing w:after="0" w:line="283"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Customizable Therapies</w:t>
      </w:r>
      <w:r>
        <w:rPr>
          <w:rFonts w:ascii="Times New Roman" w:cs="Times New Roman" w:eastAsia="Times New Roman" w:hAnsi="Times New Roman"/>
          <w:sz w:val="18"/>
          <w:szCs w:val="18"/>
          <w:color w:val="auto"/>
        </w:rPr>
        <w:t>. We believe our</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platform provided us with the ability to manufacture more customizable therapies.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enabled a library of TCRs to be assembled and used in cells to recognize diverse mutations within shared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 w:name="page11"/>
    <w:bookmarkEnd w:id="10"/>
    <w:p>
      <w:pPr>
        <w:ind w:left="380" w:right="40"/>
        <w:spacing w:after="0" w:line="260" w:lineRule="auto"/>
        <w:rPr>
          <w:sz w:val="20"/>
          <w:szCs w:val="20"/>
          <w:color w:val="auto"/>
        </w:rPr>
      </w:pPr>
      <w:r>
        <w:rPr>
          <w:rFonts w:ascii="Times New Roman" w:cs="Times New Roman" w:eastAsia="Times New Roman" w:hAnsi="Times New Roman"/>
          <w:sz w:val="18"/>
          <w:szCs w:val="18"/>
          <w:color w:val="auto"/>
        </w:rPr>
        <w:t xml:space="preserve">neoantigens and address a multitude of HLA types. We believe this could enable both our Library TCR-T approach against shared cancer targets as well as personalized TCR therapies against unique, and potentially multiple, personal neoantigens. We believe multiplexing TCR-T cells, which involves infusing a patient with more than one TCR product, would be best enabled by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and through our unique TCRs and expanding TCR library.</w:t>
      </w:r>
    </w:p>
    <w:p>
      <w:pPr>
        <w:spacing w:after="0" w:line="72" w:lineRule="exact"/>
        <w:rPr>
          <w:sz w:val="20"/>
          <w:szCs w:val="20"/>
          <w:color w:val="auto"/>
        </w:rPr>
      </w:pPr>
    </w:p>
    <w:p>
      <w:pPr>
        <w:ind w:left="380" w:right="80" w:hanging="372"/>
        <w:spacing w:after="0" w:line="273"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Potential Clinical Benefits</w:t>
      </w:r>
      <w:r>
        <w:rPr>
          <w:rFonts w:ascii="Times New Roman" w:cs="Times New Roman" w:eastAsia="Times New Roman" w:hAnsi="Times New Roman"/>
          <w:sz w:val="17"/>
          <w:szCs w:val="17"/>
          <w:color w:val="auto"/>
        </w:rPr>
        <w:t>. We believe the anti-tumor activity of our TCR-T cells have the potential to last as long as the TCR-T cells persist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proliferate following the recognition of the neoantigen on the tumor cell surface. This may lead to durable and progressively greater clinical response in patients. In CAR-T cell products generated in human cells,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transposons were observed to integrate in a close-to-random distribution at thymine-adenine, or TA, dinucleotide sites, which increases the likelihood of insertion in a genomic safe harbor, thereby making them less likely to cause off-target effects when compared to other transposons and viral gene delivery methods. We also believe that including membrane-bound interleukin-15, or mbIL-15, in TCR-T cells can provide additional benefits. In particular, we have observed that T cells modified to express mbIL-15 as well as a TCR show increased potential for stemness corresponding with a potential ability to persist longer in the patient after infusion.</w:t>
      </w:r>
    </w:p>
    <w:p>
      <w:pPr>
        <w:spacing w:after="0" w:line="61" w:lineRule="exact"/>
        <w:rPr>
          <w:rFonts w:ascii="Times New Roman" w:cs="Times New Roman" w:eastAsia="Times New Roman" w:hAnsi="Times New Roman"/>
          <w:sz w:val="17"/>
          <w:szCs w:val="17"/>
          <w:color w:val="auto"/>
        </w:rPr>
      </w:pPr>
    </w:p>
    <w:p>
      <w:pPr>
        <w:ind w:left="380" w:right="200" w:hanging="372"/>
        <w:spacing w:after="0" w:line="267"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Accommodation of Large Transgene Size</w:t>
      </w:r>
      <w:r>
        <w:rPr>
          <w:rFonts w:ascii="Times New Roman" w:cs="Times New Roman" w:eastAsia="Times New Roman" w:hAnsi="Times New Roman"/>
          <w:sz w:val="18"/>
          <w:szCs w:val="18"/>
          <w:color w:val="auto"/>
        </w:rPr>
        <w:t>. Plasmids manufactured using our</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platform have a large enough payload size to allow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genetic engineering of both the TCR as well as insertion of a gene encoding for the expression of cytokines, such as mbIL-15. This facilitates uniformly high co-expression of both the TCR and cytokine on a single integrated gene.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and Clinical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 of our TCR-T Product Candidates</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independently evaluated all the TCRs we had licensed from NCI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platform. Candidate TCRs for clinical translation were selected based on conventional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immunological measurements. We presented these data at the 2021 American Association for Cancer Research (AACR) and Society for Immunotherapy of Cancer (SITC) annual meetings. We selected the TCRs based, in part, on their ability to express on the T cell surface and then specifically recognize the mutated target without also targeting healthy cells. For those TCRs that are destined for killer T cells, our preclinical data suggested that those TCR-T cells could kill the appropriate tumor cell lines expressing the target neoantigen. In our preclinical studies, we also observed TCR-T cells killed significantly more tumor cells when matched with the corresponding HLA and neoantigen relative to mismatched tumor cells and relative to mismatched T cells not expressing the relevant neoantigen-specific TCR.</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Selected formerly licensed TCRs were co-expressed with mbIL-15 on T cells. This was accomplished with the transfer of a single transposon to deliver three independent genes (TCRalpha, TCRbeta, mbIL-15) to the T cell. We optimized the orientation order of these three genes and the growth conditions specific for the generation of mbIL-15 TCR-T cells. Using similar standard immunologic readouts described above, the mbIL-15 TCR-T cells were observed to display a similar specificity and potency profile to conventional TCR-T cells; however, we observed increased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survival of mbIL-15 TCR-T cells in the absence of all added support relative to TCR-T cells, especially in the T memory stem cell populations. We filed an international patent application around these findings and presented preclinical data from this program at the American Society of Gene &amp; Cell Therapy conference in 2022. We believe mbIL-15 has the potential to increase the survival of TCR-T cells in the harsh tumor microenvironment and deepen clinical responses.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TCR-T Library Phase 1/2 Trial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February 2021, we received FDA clearance for our company-sponsored IND to initiate a Phase 1/2 open-label, dose-escalation trial which was initially being conducted at MD Anderson. In January 2022, after screening patients, we opened enrollment in our TCR-T Library Phase 1/2 Trial and expected to enroll up to 180 adults during the course of the trial. We only enrolled patients who had a matched HLA and hotspot mutation that was targeted by one of the TCRs from our TCR library, who had progressive or recurrent solid tumors and who had failed at least one prior line of standard therapy. The trial was evaluating the 12 TCRs that were in our library that targeted neoantigens arising from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mutations in patients across a broad range of solid tumors that include non-small cell lung, colorectal, endometrial, pancreatic, ovarian, and bile duct cancers, all in a single trial. We intended to use our hunTR discovery engine in an effort to add new TCRs to the library and clinical program as they were qualified by our laboratory. The patients were enrolled in cohorts according to their cancer at three separate dose levels. The Phase 1 primary endpoint was to define dose limiting toxicity or the recommended maximum tolerated dose for a subsequent clinical trial. The primary endpoints for the Phase 2 portion of the trial was expected to determine the objective response rate and otherwise evaluate safety and tolerability. We were also monitoring TCR-T cell persistence and performing multiple conventional immune monitoring assays in the clinical trial to evaluate their persistence in patients. As of December 31, 2023, we have enrolled and dosed 8 patients.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presented information on the first two patients treated in September 2022 at the CRI-ENCI-AACR International Cancer Immunotherapy Conference, or CICON. The first patient we treated had lung adenocarcinoma with multiple lines of prior therapy and was refractory to checkpoint inhibitors. The second patient we treated was diagnosed with colon cancer and had received multiple lines of standard prior therapies. We successfully dosed a third patient who was diagnosed with advanced pancreatic cancer refractory to multiple lines of standard therapy in our TCR-T Library Phase 1/2 Trial in December 2022. We performed translational assessments to assess the biological activity of our TCR-T cells in order to guide next generation TCR-T therapy approaches including potential combination and multiplexed TCR-T cell</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11" w:name="page12"/>
    <w:bookmarkEnd w:id="11"/>
    <w:p>
      <w:pPr>
        <w:ind w:right="20"/>
        <w:spacing w:after="0" w:line="283" w:lineRule="auto"/>
        <w:rPr>
          <w:sz w:val="20"/>
          <w:szCs w:val="20"/>
          <w:color w:val="auto"/>
        </w:rPr>
      </w:pPr>
      <w:r>
        <w:rPr>
          <w:rFonts w:ascii="Times New Roman" w:cs="Times New Roman" w:eastAsia="Times New Roman" w:hAnsi="Times New Roman"/>
          <w:sz w:val="18"/>
          <w:szCs w:val="18"/>
          <w:color w:val="auto"/>
        </w:rPr>
        <w:t xml:space="preserve">therapies. We believe that these data provided early clinical validation of the potential of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 therapy in high value indications with significant unmet need.</w:t>
      </w:r>
    </w:p>
    <w:p>
      <w:pPr>
        <w:spacing w:after="0" w:line="53" w:lineRule="exact"/>
        <w:rPr>
          <w:sz w:val="20"/>
          <w:szCs w:val="20"/>
          <w:color w:val="auto"/>
        </w:rPr>
      </w:pPr>
    </w:p>
    <w:p>
      <w:pPr>
        <w:ind w:left="1020" w:right="3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treated demonstrated manageable safety profiles with no dose limiting toxicities, or DLTs, or immune effector cell-associated neurotoxicity syndrome;</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Persistence of the TCR-T cells has been observed. Patient 1 had persistence at 24 weeks with approximately 30% of the patient's total CD3+ T cells comprising TCR-T cells in peripheral blood after treatment with KRAS-G12D/HLA-A*11:01 mutation-specific TCR-T cells at dose level 1 (9x10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color w:val="auto"/>
        </w:rPr>
        <w:t xml:space="preserve"> cells). Patient 2 had persistence at 12 weeks with approximately 20% of the patient's total CD3+ T cells comprising TCR-T cells in peripheral blood after treatment with TP53-R175H/HLA-A*02:01 mutation-specific TCR-T cells at dose level 2 (64x10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color w:val="auto"/>
        </w:rPr>
        <w:t xml:space="preserve"> cells).</w:t>
      </w:r>
    </w:p>
    <w:p>
      <w:pPr>
        <w:spacing w:after="0" w:line="9" w:lineRule="exact"/>
        <w:rPr>
          <w:rFonts w:ascii="Times New Roman" w:cs="Times New Roman" w:eastAsia="Times New Roman" w:hAnsi="Times New Roman"/>
          <w:sz w:val="17"/>
          <w:szCs w:val="17"/>
          <w:color w:val="auto"/>
        </w:rPr>
      </w:pPr>
    </w:p>
    <w:p>
      <w:pPr>
        <w:ind w:left="1020" w:hanging="504"/>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six month progression-free survival, Patient 1 had a best overall response of objective, partial response with regression of greater than 50% of target lesions at 12 weeks post-cell therapy. Patient 2 had a best overall response of stable disease at six weeks with 12 week progression-free survival. Progressive disease was observed in Patient 1 and Patient 2 at weeks 24 and 12, respectively, and each patient subsequently went off study;</w:t>
      </w:r>
    </w:p>
    <w:p>
      <w:pPr>
        <w:spacing w:after="0" w:line="73"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targeted mutations, KRAS-G12D and TP53-R175H, were detected in respective progressing tumor biopsies suggesting no antigen loss;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Tumor homing was observed in Patient 1 with infiltration of both CD4 and CD8 TCR-T cells six months post-TCR-T cell therapy.</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our knowledge, achievement of an objective clinical response resulting from treatment with KRAS-G12D and HLA-A*11:01 specific TCR-T cells had not been reported until Patient 1 in our TCR-T Library Phase 1/2 Trial. Patient 1’s infusion product was high quality with 97.3% viability, 99.7% CD3+ purity and 95.2% TCR positivity. Patient 1’s target lesions were reduced compared to baseline by 46% at six weeks, 51% at 12 weeks and 46% at 24 weeks. At six months following treatment, an elective tumor biopsy of non-measurable disease in the right lung showed continued presence of tumor cells, KRAS-G12D mutation and HLA-A*11:01 allele, and progressive disease was corroborated by another elective scan at seven months. Patient 1 is now off trial and is being monitored as part of our long-term follow-up protocol.</w:t>
      </w:r>
    </w:p>
    <w:p>
      <w:pPr>
        <w:spacing w:after="0" w:line="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Patient 2's treatment was the first-in-human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 therapy targeting TP53 hotspot mutations and was generally well tolerated. The same TCR used by the NCI to treat breast cancer, which resulted in a 6-month confirmed, objective partial response, was used to treat Patient 2. Patient 2 received highly pure TCR-T cells (92.5% viability, 99% CD3+ purity, and 92% TCR positivity). Reduction of target lesions by 15% from baseline was observed at six weeks post-infusion, but we observed 21.8% growth of lesions from the week six measurements and appearance of new liver and lung metastases at week 12 signaled progressive disease in Patient 2, who was removed from the trial as a result of such progression.</w:t>
      </w:r>
    </w:p>
    <w:p>
      <w:pPr>
        <w:spacing w:after="0" w:line="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fourth quarter of 2022, we submitted an IND amendment to the FDA to add two new TCRs to our clinical trial targeting frequent mutations and HLAs, with the potential to double the addressable market of our TCR-T Library Phase 1/2 Trial. In over 700 patients screened at MD Anderson Cancer Center with gastrointestinal or lung tumors, we improved our match rate from 5% to over 10%, including roughly one in five patients matching two TCRs in the library. The addition of these new TCRs highlighted our strategy to add both more HLAs to existing mutations (KRAS-G12V and HLA-DRB1*07:01) and new mutations within our targeted gene families (TP53-R273C and HLA-DPB1*04:02). The IND amendment also combined our treatment and screening protocols, streamlining enrollment and potentially making it easier for both patients and physicians. The amended IND also eliminated the requirement for retesting of the tumor mutation if six months had passed between screening and treatment.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 xml:space="preserve">In 2023, Our cGMP facility in Houston, Texas was staffed by Alaunos personnel and was fully operational for manufacturing TCR T-cells genetically modified with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for our early-stage clinical trials. We relied on third parties for the production of the DNA plasmids used in manufacturing our product candidates. We closed our cGMP facility in Houston in November 2023 and laid off all manufacturing personnel by September 2023.</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Library TCR-T approach allowed us to streamline the T cell manufacturing process by pre-manufacturing DNA plasmids corresponding to each of our qualified library TCRs. These TCRs were then utilized in the manufacturing for the patient-specific, autologous TCR-T product candidates. Our in-house TCR-T manufacturing facility also allowed us to integrate our research and development capabilities, potentially reducing the time from discovery to treating patients in a clinical trial. This integration was designed to minimize delays and reduce risks that can be encountered in drug development, including the failure of third parties to successfully produce the desired product, long technology transfer periods and long lead times for orders. We doubled our manufacturing capacity in 2022, allowing for production of two products simultaneously. We also filed an IND amendment to move from fresh to cryopreserved product and began implementing this change in the first half of 2023. The use of cryopreserved cell products was expected to reduce manufacturing process time from 30 days to 26 days, a 13% decrease, while increasing flexibility for patient scheduling and treatment.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IL-12 Program</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2" w:name="page13"/>
    <w:bookmarkEnd w:id="12"/>
    <w:p>
      <w:pPr>
        <w:ind w:right="720"/>
        <w:spacing w:after="0" w:line="312" w:lineRule="auto"/>
        <w:rPr>
          <w:sz w:val="20"/>
          <w:szCs w:val="20"/>
          <w:color w:val="auto"/>
        </w:rPr>
      </w:pPr>
      <w:r>
        <w:rPr>
          <w:rFonts w:ascii="Times New Roman" w:cs="Times New Roman" w:eastAsia="Times New Roman" w:hAnsi="Times New Roman"/>
          <w:sz w:val="17"/>
          <w:szCs w:val="17"/>
          <w:color w:val="auto"/>
        </w:rPr>
        <w:t>As we announced in May 2021, we are winding down our existing Controlled IL-12 clinical program for the treatment of recurrent glioblastoma multiforme. On April 4, 2023, we returned the IL-12 assets to Precigen, Inc. via the parties' Amended and Restated Exclusive License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goal is to obtain, maintain and enforce patent and trade secret protection for our product candidates, formulations, processes, methods and other proprietary technologies. We strive to preserve our trade secrets and other confidential information and to operate without infringing the proprietary rights of other parties. Our policy is to actively seek the strongest possible intellectual property protection for our technology and product candidates through a combination of license agreements and owned patents, both in the United States and abroad.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Patents</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As of December 31, 2023, we have six families of pending patent applications that cover our TCR-T library, products and processes. We do not currently own any granted patents.</w:t>
      </w:r>
    </w:p>
    <w:p>
      <w:pPr>
        <w:spacing w:after="0" w:line="55"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Patent terms extend for varying periods according to the date of patent filing or grant and the legal patent terms in the various countries where patent protection is obtained. The actual protection offered by a patent, which can vary from country to country, depends on the type of patent, the scope of its coverage, the issued claims and the availability of legal remedies in the country.</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Drug Price Competition and Patent Term Restoration Act of 1984, referred to as the Hatch-Waxman Amendments, some of our patents, under certain conditions, may be eligible for limited patent term extension for a period of up to five years as compensation for patent term lost during drug development and the FDA regulatory review process. However, this extension period cannot be extended beyond 14 years from the drug’s approval date. The patent term restoration period is generally one-half the period of time elapsed between the effective date of an IND application or the issue date of the patent, whichever is later. The submission date of a New Drug Application, or NDA, plus the period of time between the submission date of the NDA or the issue date of the patent, whichever is later, and FDA approval. The United States Patent and Trademark Office, or USPTO, in consultation with the FDA, reviews and approves applications for any patent term extension or restoration. We intend to seek the benefits of this statute, but there can be no assurance that we will be able to obtain any such benefits.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depended upon the skills, knowledge and experience of our scientific and technical employees, as well as those of our advisors, consultants, and other contractors, none of which may be patentable. To help protect unpatentable proprietary know-how, and for inventions for which patents may be difficult to enforce, we currently rely, and in the future, will continue to rely, on trade secret protection and confidentiality agreements to protect our interests. To this end, we generally require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76" w:lineRule="exact"/>
        <w:rPr>
          <w:sz w:val="20"/>
          <w:szCs w:val="20"/>
          <w:color w:val="auto"/>
        </w:rPr>
      </w:pPr>
    </w:p>
    <w:p>
      <w:pPr>
        <w:ind w:right="640"/>
        <w:spacing w:after="0" w:line="314" w:lineRule="auto"/>
        <w:rPr>
          <w:sz w:val="20"/>
          <w:szCs w:val="20"/>
          <w:color w:val="auto"/>
        </w:rPr>
      </w:pPr>
      <w:r>
        <w:rPr>
          <w:rFonts w:ascii="Times New Roman" w:cs="Times New Roman" w:eastAsia="Times New Roman" w:hAnsi="Times New Roman"/>
          <w:sz w:val="17"/>
          <w:szCs w:val="17"/>
          <w:color w:val="auto"/>
        </w:rPr>
        <w:t>Our patent position and proprietary rights are subject to certain risks and uncertainties. Please read Item Ia. Risk Factors—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Risks Related to Our Intellectual Property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section for further information about certain risks and uncertainties that may affect our patent position and proprietary rights.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On October 5, 2018, we entered into an exclusive license agreement, or License Agreement, with PGEN Therapeutics, or PGEN, a wholly owned subsidiary of Precigen Inc., or Precigen, which was formerly known as Intrexon Corporation. Pursuant to the terms of the License Agreement, we had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License and Collaboration Agreement effective March 27, 2015 between us, Precigen and ARES TRADING S.A., a subsidiary of Merck KGaA, as assigned by Precigen to PGEN. Under the License Agreement, we also have exclusive, worldwide rights for certain patents relating to the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research, develop and commercialize TCR products for both neoantigens and shared antigens for the treatment of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TCR Products. We were solely responsible for all aspects of the research, development and commercialization of the exclusively licensed products for the treatment of cancer as well as required to use commercially reasonable efforts, as defined in the License Agreement, to develop and commercialize IL-12 products, CD19 products and TCR Products. The License Agreement required us to pay PGEN an annual license fee of $0.1 million and reimburse PGEN for certain historical costs of the licensed programs. We were required to make milestone payments totaling up to an additional $52.5 million for each exclusively licensed program upon the initiation of later stage clinical trials and upon the approval of exclusively licensed products in various jurisdictions and pay PGEN tiered royalties ranging from low-single digit to high-single digit on the net sales derived from the sales of any approved IL-12 products and CAR products. We were also to pay PGEN royalties ranging from low-single digit to mid-single digit on the net sales derived from the sales of any approved TCR products, up to a maximum royalty amount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3" w:name="page14"/>
    <w:bookmarkEnd w:id="13"/>
    <w:p>
      <w:pPr>
        <w:ind w:right="300"/>
        <w:spacing w:after="0" w:line="281" w:lineRule="auto"/>
        <w:rPr>
          <w:sz w:val="20"/>
          <w:szCs w:val="20"/>
          <w:color w:val="auto"/>
        </w:rPr>
      </w:pPr>
      <w:r>
        <w:rPr>
          <w:rFonts w:ascii="Times New Roman" w:cs="Times New Roman" w:eastAsia="Times New Roman" w:hAnsi="Times New Roman"/>
          <w:sz w:val="18"/>
          <w:szCs w:val="18"/>
          <w:color w:val="auto"/>
        </w:rPr>
        <w:t>$100.0 million in the aggregate, 0% of any sublicensing income received by us relating to the licensed products, and fund development costs associated with each of the licensed products.</w:t>
      </w:r>
    </w:p>
    <w:p>
      <w:pPr>
        <w:spacing w:after="0" w:line="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PGEN was required to pay us royalties ranging from low-single digits to mid-single digits on the net sales derived from the sale of PGEN’s CAR products, up to a maximum royalty amount of $100.0 million. In October 2020, we entered into an amendment to the License Agreement relating to the transfer of certain materials and PGEN’s obligations to provide transition assistance relating to the IL-12 products.</w:t>
      </w:r>
    </w:p>
    <w:p>
      <w:pPr>
        <w:spacing w:after="0" w:line="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April 2023, we amended and restated the License Agreement by entering into the Amended and Restated License Agreement, or A&amp;R License, which replaces in its entirety the License Agreement. We returned all rights to the CAR-T and IL-12 programs to Precigen. We were granted, royalty-free, an exclusive, worldwide, sublicensable rights to research, develop and commercialize TCR products designed for neoantigens for the treatment of cancer. We are required to pay Precigen a $75,000 annual license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Agreement-The University of Texas MD Anderson Cancer Center</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13, 2015, we, together with Precigen, entered into that certain license agreement, or the MD Anderson License, with MD Anderson (which Precigen subsequently assigned to PGEN). Pursuant to the MD Anderson License, we, together with PGEN, hold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Dr. Cooper served as our Chief Executive Officer from May 2015 until February 2021 and was formerly a tenured professor of pediatrics at MD Anderson.</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Research and Development Agreement, or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us pursuant to the Fourth Amendment to the 2015 R&amp;D Agreement which was entered into on September 19, 2019, or the Fourth Amendment, with an effective date of October 5, 2018. The activities under the 2015 R&amp;D Agreement are directed by a joint steering committee comprised of two members from our company and one member from MD Anderson.</w:t>
      </w:r>
    </w:p>
    <w:p>
      <w:pPr>
        <w:spacing w:after="0" w:line="7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As provided under the MD Anderson License, we provided funding for research and development activities in support of the research programs under the 2015 R&amp;D Agreement for a period of three years and in an amount of no less than $15.0 million and no greater than $20.0 million per year. On November 14, 2017, we entered into an amendment to the 2015 R&amp;D Agreement extending its term until April 15, 2021 and on October 22, 2019, we entered into another amendment to the 2015 R&amp;D Agreement extending its term until December 31, 2026 and to allow cash resources on hand at MD Anderson under the 2015 R&amp;D Agreement to be used for development costs under the 2019 Research and Development Agreement, or the 2019 R&amp;D Agreement, which we entered into on October 22, 2019, with MD Anderson, pursuant to which we agreed to collaborate with respect to the TCR program.</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we,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 requirements in such funding agreement or contract, as applicable. MD Anderson may also terminate the agreement with written notice upon material breach by us and Precigen, if such breach has not been cured within 60 days of receiving such notice. In addition, the MD Anderson License will terminate upon the occurrence of certain insolvency events for both us and Precigen and may be terminated by the mutual written agreement of us, Precigen, and MD Anderson.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Under the 2019 R&amp;D Agreement, we and MD Anderson will, among other things, collaborate on programs to expand our TCR library and conduct clinical trials. The activities under the 2019 R&amp;D Agreement are directed by a joint steering committee comprised of two members from our company and one member from MD Anderson.</w:t>
      </w:r>
    </w:p>
    <w:p>
      <w:pPr>
        <w:spacing w:after="0" w:line="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will own all inventions and intellectual property developed under the 2019 R&amp;D Agreement and we will retain all rights to all intellectual property, patentable or not, for oncology products manufactured using non-viral gene transfer technologies under the 2019 R&amp;D Agreement, including our </w:t>
      </w:r>
      <w:r>
        <w:rPr>
          <w:rFonts w:ascii="Times New Roman" w:cs="Times New Roman" w:eastAsia="Times New Roman" w:hAnsi="Times New Roman"/>
          <w:sz w:val="18"/>
          <w:szCs w:val="18"/>
          <w:i w:val="1"/>
          <w:iCs w:val="1"/>
          <w:color w:val="auto"/>
        </w:rPr>
        <w:t>Sleeping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Beauty </w:t>
      </w:r>
      <w:r>
        <w:rPr>
          <w:rFonts w:ascii="Times New Roman" w:cs="Times New Roman" w:eastAsia="Times New Roman" w:hAnsi="Times New Roman"/>
          <w:sz w:val="18"/>
          <w:szCs w:val="18"/>
          <w:color w:val="auto"/>
        </w:rPr>
        <w:t>technology. We have granted MD Anderson an exclusive license for such intellectual property to develop and commercialize autologous TCR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manufactured using viral gene transfer technologies, and any products outside the field of oncology and a non-exclusive license for allogenic TCR products manufactured using viral-based technologies.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4" w:name="page15"/>
    <w:bookmarkEnd w:id="14"/>
    <w:p>
      <w:pPr>
        <w:ind w:right="20"/>
        <w:spacing w:after="0" w:line="255" w:lineRule="auto"/>
        <w:rPr>
          <w:sz w:val="20"/>
          <w:szCs w:val="20"/>
          <w:color w:val="auto"/>
        </w:rPr>
      </w:pPr>
      <w:r>
        <w:rPr>
          <w:rFonts w:ascii="Times New Roman" w:cs="Times New Roman" w:eastAsia="Times New Roman" w:hAnsi="Times New Roman"/>
          <w:sz w:val="18"/>
          <w:szCs w:val="18"/>
          <w:color w:val="auto"/>
        </w:rPr>
        <w:t>Under the 2019 R&amp;D Agreement, we agreed, beginning on January 1, 2021, to reimburse MD Anderson up to a total of $20 million for development costs under the 2019 R&amp;D Agreement, after the funds from the 2015 R&amp;D Agreement are exhausted. In addition, we will pay MD Anderson royalties on net sales of its TCR products at rates in the low single digits. We are required to make performance-based payments upon the successful completion of clinical and regulatory benchmarks relating to its TCR products. The aggregate potential benchmark payments are $36.5 million, of which only $3.0 million will be due prior to the first marketing approval of our TCR products. The royalty rates and benchmark payments owed to MD Anderson may be reduced upon the occurrence of certain events. We also agreed to sell our TCR products to MD Anderson at preferential prices and will sell our TCR products in Texas exclusively to MD Anderson for a limited period of time following the first commercial sale of our TCR products.</w:t>
      </w:r>
    </w:p>
    <w:p>
      <w:pPr>
        <w:spacing w:after="0" w:line="7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we issued MD Anderson a warrant to purchase 3,333,333 shares of our common stock, which is referred to as the MD Anderson Warrant. The MD Anderson Warrant has an initial exercise price of $0.001 per share, expires on December 31, 2026 and vests in four parts upon the occurrence of certain clinical milestones. As of December 31, 2023, the milestones have not been met.</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MD Anderson Warrant and the shares of our common stock to be issued upon exercise of the MD Anderson Warrant have not been registered under the Securities Act of 1933, as amended, and may not be offered or sold in the United States absent registration or an applicable exemption from registration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May 28, 2019, we entered into a patent license agreement, or the Patent License, with the NCI. Pursuant to the Patent License, we hold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we hold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we amended the Patent License to expand our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terms of the Patent License required us to pay the NCI minimum annual royalties in the amount of $0.3 million, which amount will be reduced to $0.1 million once the aggregate minimum annual royalties paid by us equals $1.5 million.</w:t>
      </w:r>
    </w:p>
    <w:p>
      <w:pPr>
        <w:spacing w:after="0" w:line="5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were also required to make performance-based payments upon successful completion of clinical and regulatory benchmarks relating to the licensed products. Of such payments, the aggregate potential benchmark payments were $4.3 million, of which aggregate payments of $3.0 million was due only after marketing approval in the United States or in Europe, Japan, Australia, China or India. The first benchmark payment of $0.1 million was paid in 2022 upon the initiation of our TCR-T Library Phase 1/2 Trial, which was a qualifying Phase 1 clinical trial under the terms of the Patent License.</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we were required to pay the NCI one-time benchmark payments following aggregate net sales of licensed products at certain aggregate net sales ranging from $250.0 million to $1.0 billion. The aggregate potential amount of these benchmark payments is $12.0 million. We must also pay the NCI royalties on net sales of products covered by the Patent License at rates in the low to mid-single digits depending upon the technology included in a licensed product. To the extent we enter into a sublicensing agreement relating to a licensed product, we are required to pay the NCI a percentage of all consideration received from a sublicensee, which percentage will decrease based on the stage of development of the licensed product at the time of the sublicense.</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Patent License was to expire upon expiration of the last patent contained in the licensed patent rights, unless terminated earlier. The NCI could have terminated or modified the Patent License in the event of a material breach, including if we did not meet certain milestones by certain dates, or upon certain insolvency events that remained uncured following the date that was 90 days following written notice of such breach or insolvency event. We could have terminated the Patent License, or any portion thereof, in our sole discretion at any time upon 60 days’ written notice to the NCI. In addition, the NCI had the right to: (i) require us to sublicense the rights to the product candidates covered by the Patent License upon certain conditions, including if we are not reasonably satisfying required health and safety needs and (ii) terminate or modify the Patent License, including if we are not satisfying requirements for public use as specified by federal regulations.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27, 2023, we provided the requisite 60-days' notice to the NCI of our intention to terminate the Patent License, effective December 26,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License subsequently was terminated on that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with the NCI</w:t>
      </w:r>
    </w:p>
    <w:p>
      <w:pPr>
        <w:spacing w:after="0" w:line="11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 xml:space="preserve">On January 9, 2017, we entered into a Cooperative Research and Development Agreement, or CRADA, with the NCI. The purpose of this collaboration was to advance a personalized TCR-T approach for the treatment of solid tumors.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5" w:name="page16"/>
    <w:bookmarkEnd w:id="15"/>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would analyze a patient’s own cancer cells, identify their unique neoantigens and TCRs reactive against those neoantigens and then use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transpose one or more TCRs into T cells for re-infusion. Research conducted under the CRADA was at the direction of Steven A. Rosenberg, M.D., Ph.D., Chief of the Surgery Branch at the NCI, in collaboration with our researchers.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were responsible for providing the NCI with the test materials necessary for them to conduct their studies, and eventually, clinical trials pursuant to the CRADA. Inventions, data and materials discovered or produced in connection with performance of the research plan under the CRADA would have remained the sole property of the party who produced the discovery. The parties would have jointly owned all inventions jointly discovered under the research plan. The owner of any invention under the CRADA would have made the decision to file a patent covering the invention, or in the case of a jointly owned invention, we would have had the first opportunity to file a patent covering the invention. If we failed to provide timely notice of our decision to the NCI or decided not to file a patent covering the joint invention, NCI had the right to make the filing. For any invention solely owned by NCI or jointly made by NCI and us for which a patent application was filed, the U.S. Public Health service would have granted us an exclusive option to elect an exclusive or non-exclusive commercialization license. For inventions owned solely by NCI or jointly owned by NCI and us, which are licensed according to the terms described above, we agreed to grant to the U.S. government a non-exclusive, non-transferable, irrevocable and paid up license to practice the invention or have the invention practiced on its behalf throughout the world. We were also required to grant the U.S. government a non-exclusive, non-transferable, irrevocable and paid up license to practice the invention or have the invention practiced on its behalf throughout the world for any of our solely owned inventions. The agreement could have been terminated by any of the parties upon 60 days prior written consent.</w:t>
      </w:r>
    </w:p>
    <w:p>
      <w:pPr>
        <w:spacing w:after="0" w:line="7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NCI had a cleared IND that would permit them to begin this trial. To our knowledge, the trial has not yet enrolled. The progress and timeline for this trial, including the timeline for dosing patients, were under control of the NCI.</w:t>
      </w:r>
    </w:p>
    <w:p>
      <w:pPr>
        <w:spacing w:after="0" w:line="5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2019, we extended the CRADA with the NCI until January 9, 2022, committing an additional $5.0 million to this program.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 In connection with the CRADA Fourth Amendment, we agreed to contribute $1.0 million per year, payable on a quarterly basis, beginning in the first quarter of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14, 2023, we provided the requisite 60-days' notice of our intention to terminate the CRADA, which did subsequently terminate at that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TCR-T Platform Licenses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January 2015, we in-licensed from MD Anderson a technology portfolio that includes intellectual property directed to certain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technologies as well as TCR-T cell therapy and bioprocessing technology. Under the terms of the agreement, we have an exclusive license to certain of the intellectual property technology, a co-exclusive license to certain of the intellectual property technology and a non-exclusive license to certain of the intellectual property technology. Our rights to the MD Anderson intellectual property flow to us via our agreement with PGEN.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Product Approval</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a biopharmaceutical company, we are subject to extensive regulation. Our genetically engineered T-cell product candidates are regulated as biologics. With this classification, commercial production of our products will need to occur in registered and licensed facilities in compliance with cGMPs for biologics.</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The FDA categorizes human cell- or tissue-based products as either minimally manipulated or more than minimally manipulated and has determined that more than minimally manipulated products require clinical trials to demonstrate product safety and efficacy and the submission of a Biologics License Application, or BLA, for marketing authorization.</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preclinical and clinical testing, manufacturing, quality control, labeling, packaging, storage, record-keeping, promotion, advertising, sale,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The process for obtaining regulatory marketing approvals and the subsequent compliance with applicable federal, state, local and foreign statutes and regulations require the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Product Development Process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under the Public Health Service Act, or PHSA, and the Federal Food, Drug and Cosmetic Act, or FDCA, and implementing regulations. Products are also subject to other federal, state and local statutes and regulations. The process of obtaining regulatory approvals and the subsequent compliance with appropriate federal, state, local and foreign statutes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t>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and similar public notice of alleged non-compliance with laws, product recalls or withdrawals from the market, product seizures, total or partial suspension of production or distribution, fines, refusals of government contracts, restitution, disgorgement of profits, or civil or criminal penalties. Any agency or judicial enforcement action could have a material adverse effect on us. The process required by the FDA before a biological product may be approved for marketing in the United States generally involves the following:</w:t>
      </w:r>
    </w:p>
    <w:p>
      <w:pPr>
        <w:spacing w:after="0" w:line="79" w:lineRule="exact"/>
        <w:rPr>
          <w:sz w:val="20"/>
          <w:szCs w:val="20"/>
          <w:color w:val="auto"/>
        </w:rPr>
      </w:pPr>
    </w:p>
    <w:p>
      <w:pPr>
        <w:ind w:left="380" w:right="280" w:hanging="372"/>
        <w:spacing w:after="0" w:line="28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according to Good Laboratory Practices, or GLPs, and applicable requirements for the humane use of laboratory animals or other applicable regulations;</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380" w:right="120" w:hanging="372"/>
        <w:spacing w:after="0" w:line="265"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69" w:lineRule="exact"/>
        <w:rPr>
          <w:rFonts w:ascii="Times New Roman" w:cs="Times New Roman" w:eastAsia="Times New Roman" w:hAnsi="Times New Roman"/>
          <w:sz w:val="18"/>
          <w:szCs w:val="18"/>
          <w:color w:val="auto"/>
        </w:rPr>
      </w:pPr>
    </w:p>
    <w:p>
      <w:pPr>
        <w:ind w:left="380" w:right="100" w:hanging="372"/>
        <w:spacing w:after="0" w:line="28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nonclinical testing and clinical trials;</w:t>
      </w:r>
    </w:p>
    <w:p>
      <w:pPr>
        <w:spacing w:after="0" w:line="54" w:lineRule="exact"/>
        <w:rPr>
          <w:rFonts w:ascii="Times New Roman" w:cs="Times New Roman" w:eastAsia="Times New Roman" w:hAnsi="Times New Roman"/>
          <w:sz w:val="18"/>
          <w:szCs w:val="18"/>
          <w:color w:val="auto"/>
        </w:rPr>
      </w:pPr>
    </w:p>
    <w:p>
      <w:pPr>
        <w:ind w:left="380" w:right="120" w:hanging="372"/>
        <w:spacing w:after="0" w:line="26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where the biological product is produced to assess compliance with cGMP to assure that the facilities, methods and controls used in product manufacture are adequate to preserve the biological product’s identity, strength, quality and purity and, if applicable, the FDA’s current Good Tissue Practices, or GTPs, for the use of human cellular and tissue products;</w:t>
      </w:r>
    </w:p>
    <w:p>
      <w:pPr>
        <w:spacing w:after="0" w:line="7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16" w:lineRule="exact"/>
        <w:rPr>
          <w:rFonts w:ascii="Times New Roman" w:cs="Times New Roman" w:eastAsia="Times New Roman" w:hAnsi="Times New Roman"/>
          <w:sz w:val="18"/>
          <w:szCs w:val="18"/>
          <w:color w:val="auto"/>
        </w:rPr>
      </w:pPr>
    </w:p>
    <w:p>
      <w:pPr>
        <w:ind w:left="380" w:right="20" w:hanging="372"/>
        <w:spacing w:after="0" w:line="312"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acceptance, review and approval, or licensure, of the BLA, which might include review by an advisory committee, a panel typically consisting of independent clinicians and other experts who provide recommendations as to whether the application should be approved and under what conditions.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testing any biological product candidate, including our product candidates, in humans, the product candidate must undergo rigorous preclinical testing. Preclinical tests, also referred to as nonclinical studies, include laboratory evaluations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safety and efficacy of the product candidate. The clinical trial sponsor must submit an IND to the FDA before clinical testing can begin in the United States. An IND must contain the results of the preclinical tests, manufacturing information, analytical data, any available clinical data or literature, a proposed clinical protocol, an investigator’s brochure, a sample informed consent form and other materials. Clinical trial protocols detail,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Some preclinical testing, such as toxicity studies, may continue even after the IND is submitted.</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IND automatically becomes effective 30 days after receipt by the FDA, unless the FDA raises concerns or questions regarding the proposed clinical trials or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Clinical trials involving recombinant or synthetic nucleic acid molecules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must be conducted and monitored in accordance with the FDA’s regulations comprising the GCP requirements.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7" w:name="page18"/>
    <w:bookmarkEnd w:id="17"/>
    <w:p>
      <w:pPr>
        <w:ind w:left="380" w:right="340" w:hanging="372"/>
        <w:spacing w:after="0" w:line="267"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biological product is initially introduced into healthy human subjects and tested for safety. In the case of some products for severe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life-threatening diseases, especially when the product may be too inherently toxic to ethically administer to healthy volunteers, the initial human testing is often conducted in patients with the target disease or condition.</w:t>
      </w:r>
    </w:p>
    <w:p>
      <w:pPr>
        <w:spacing w:after="0" w:line="64" w:lineRule="exact"/>
        <w:rPr>
          <w:rFonts w:ascii="Times New Roman" w:cs="Times New Roman" w:eastAsia="Times New Roman" w:hAnsi="Times New Roman"/>
          <w:sz w:val="18"/>
          <w:szCs w:val="18"/>
          <w:color w:val="auto"/>
        </w:rPr>
      </w:pPr>
    </w:p>
    <w:p>
      <w:pPr>
        <w:ind w:left="380" w:right="540" w:hanging="372"/>
        <w:spacing w:after="0" w:line="314"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for specific targeted diseases and to determine dosage tolerance, optimal dosage and dosing schedule.</w:t>
      </w:r>
    </w:p>
    <w:p>
      <w:pPr>
        <w:spacing w:after="0" w:line="27" w:lineRule="exact"/>
        <w:rPr>
          <w:rFonts w:ascii="Times New Roman" w:cs="Times New Roman" w:eastAsia="Times New Roman" w:hAnsi="Times New Roman"/>
          <w:sz w:val="17"/>
          <w:szCs w:val="17"/>
          <w:color w:val="auto"/>
        </w:rPr>
      </w:pPr>
    </w:p>
    <w:p>
      <w:pPr>
        <w:jc w:val="both"/>
        <w:ind w:left="380" w:right="60" w:hanging="372"/>
        <w:spacing w:after="0" w:line="267"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generally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generate enough data to statistically evaluate the efficacy and safety of the product for approval, to establish the overall risk to benefit profile of the product and to provide an adequate basis for product labeling.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an independent group of experts that evaluates study data for safety and makes recommendations concerning continuation, modification, or termination of clinical trials,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nonclinical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drug or biologic products that meet certain criteria. Specifically, new drugs or biologics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78"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w:t>
      </w:r>
    </w:p>
    <w:p>
      <w:pPr>
        <w:spacing w:after="0" w:line="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The FDA adjusts the PDUFA user fees on an annual basis. PDUFA also imposes an annual program fee for approved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18" w:name="page19"/>
    <w:bookmarkEnd w:id="18"/>
    <w:p>
      <w:pPr>
        <w:ind w:right="80"/>
        <w:spacing w:after="0" w:line="253" w:lineRule="auto"/>
        <w:rPr>
          <w:sz w:val="20"/>
          <w:szCs w:val="20"/>
          <w:color w:val="auto"/>
        </w:rPr>
      </w:pPr>
      <w:r>
        <w:rPr>
          <w:rFonts w:ascii="Times New Roman" w:cs="Times New Roman" w:eastAsia="Times New Roman" w:hAnsi="Times New Roman"/>
          <w:sz w:val="18"/>
          <w:szCs w:val="18"/>
          <w:color w:val="auto"/>
        </w:rPr>
        <w:t>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ensure that the benefits of the product outweigh its risks and to assure the safe use of the biological product, which could include medication guides, physician communication plans, or elements to assure safe use, such as restricted distribution methods, patient registries and other risk minimization tools.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immunotherapy products, the FDA also will not approve the product if the manufacturer is not in compliance with the GTPs, to the extent applicable. These are FDA regulations and guidance documents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GTP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trials were conducted in compliance with IND trial requirements and GCP requirements.</w:t>
      </w:r>
    </w:p>
    <w:p>
      <w:pPr>
        <w:spacing w:after="0" w:line="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If the agency decides not to approve the BLA in its present form, the FDA will issue a Complete Response Letter, which generally outlines the specific deficiencies in the BLA identified by the FDA and may require additional clinical or other data or impose other conditions that must be met in order to secure final approval of the application. The deficiencies identified may be minor, for example, requiring labeling changes, or major, for example, requiring additional clinical trials. Even with the submission of additional information, the FDA may ultimately decide that the application does not satisfy the regulatory criteria for approval. If a Complete Response Letter is issued, the applicant may either resubmit the BLA, addressing all of the deficiencies identified in the letter, or withdraw the application.</w:t>
      </w:r>
    </w:p>
    <w:p>
      <w:pPr>
        <w:spacing w:after="0" w:line="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FDA may require that certain contraindications, warnings or precautions be included in the product labeling,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After approval, many types of changes to the approved product, such as adding new indications, manufacturing changes and additional labeling claims, are subject to further testing requirements and FDA review and approval.</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w:t>
      </w:r>
    </w:p>
    <w:p>
      <w:pPr>
        <w:spacing w:after="0" w:line="6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We relied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w:t>
      </w:r>
    </w:p>
    <w:p>
      <w:pPr>
        <w:spacing w:after="0" w:line="78"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including adverse events of unanticipated severity or frequency, with manufacturing processes, or the failure to comply with applicable FDA requirements can have negative consequences, including adverse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9" w:name="page20"/>
    <w:bookmarkEnd w:id="19"/>
    <w:p>
      <w:pPr>
        <w:ind w:right="40"/>
        <w:spacing w:after="0" w:line="276" w:lineRule="auto"/>
        <w:rPr>
          <w:sz w:val="20"/>
          <w:szCs w:val="20"/>
          <w:color w:val="auto"/>
        </w:rPr>
      </w:pPr>
      <w:r>
        <w:rPr>
          <w:rFonts w:ascii="Times New Roman" w:cs="Times New Roman" w:eastAsia="Times New Roman" w:hAnsi="Times New Roman"/>
          <w:sz w:val="17"/>
          <w:szCs w:val="17"/>
          <w:color w:val="auto"/>
        </w:rPr>
        <w:t>publicity, judicial or administrative enforcement, complete withdrawal from the market, product recalls, warning letters from the FDA, mandated corrective advertising or communications with doctors, product seizure or detention, injunctions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FDA strictly regulates marketing, labeling, advertising and promotion of products. Drugs may be promoted only for the approved indications and in accordance with the provisions of the approved label, although physicians, in the practice of medicine, may prescribe approved drugs for unapproved indications. However, companies may share truthful and not misleading information that is otherwise consistent with the labeling. The FDA and other agencies actively enforce the laws and regulations prohibiting the promotion of off-label uses, and a company that is found to have improperly promoted off-label uses may be subject to significant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Exclusivity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amended the PHSA to authorize the FDA to approve similar versions of innovative biologics, commonly known as biosimilars. Biosimilars are approved pursuant to an abbreviated pathway whereby applicants need not submit the full slate of preclinical and clinical data, and approval is based in part on the FDA’s findings of safety, purity, and potency for the original biologic (i.e., the reference product). Reference products are eligible to receive 12 years of exclusivity from the time of first licensure of the product, which prevents the FDA from approving any biosimilars to the reference product through the abbreviated pathway, but does not prevent approval of BLAs that are accompanied by a full data package and that do not rely on the reference product. A biosimilar may be approved if the product is highly similar to the reference product notwithstanding minor differences in clinically inactive components and there are no clinically meaningful differences with the reference product in terms of the safety, purity and potency.</w:t>
      </w:r>
    </w:p>
    <w:p>
      <w:pPr>
        <w:spacing w:after="0" w:line="8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or biologic product available in the United States for this type of disease or condition will be recovered from sales of the product. Orphan designation must be requested before submitting a marketing application.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 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European Union, or EU, has similar but not identical benefits in that jurisdiction.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significant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In addition, in the United States, no uniform policy of coverage and reimbursement for drug products exists among third-party payors. Therefore, coverage and reimbursement for drug products can differ significantly from payor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0" w:name="page21"/>
    <w:bookmarkEnd w:id="20"/>
    <w:p>
      <w:pPr>
        <w:ind w:right="560"/>
        <w:spacing w:after="0" w:line="281" w:lineRule="auto"/>
        <w:rPr>
          <w:sz w:val="20"/>
          <w:szCs w:val="20"/>
          <w:color w:val="auto"/>
        </w:rPr>
      </w:pPr>
      <w:r>
        <w:rPr>
          <w:rFonts w:ascii="Times New Roman" w:cs="Times New Roman" w:eastAsia="Times New Roman" w:hAnsi="Times New Roman"/>
          <w:sz w:val="18"/>
          <w:szCs w:val="18"/>
          <w:color w:val="auto"/>
        </w:rPr>
        <w:t>payor. Third-party payors are increasingly challenging the price, examining the medical necessity of and reviewing the cost-effectiveness of medical products, therapies and services, in addition to questioning their safety and efficacy.</w:t>
      </w:r>
    </w:p>
    <w:p>
      <w:pPr>
        <w:spacing w:after="0" w:line="5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Reimbursement may impact the demand for, and/or the price of, any product candidate that obtains marketing approval. Even if coverage and reimbursement is obtained for a given product candidate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a product, and physicians may be less likely to prescribe a product, unless coverage is provided and reimbursement is adequate to cover all or a significant portion of the cost of the product. Therefore, coverage and adequate reimbursement is critical to new drug product acceptance.</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downward pressure on health care costs in general, particularly prescription drugs and biologics, has become very intense. Governments have shown significant interest in implementing cost-containment programs, including price controls, restrictions on reimbursement and requirements for substitution of generic products. As a result, increasingly high barriers are being erected to the entry of new products. The marketability of any product candidates for which we receive regulatory approval for commercial sale may suffer if the government and third-party payors fail to provide favorable coverage and adequate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Laws Governing Interactions with Healthcare Providers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play a primary role in the recommendation and prescription of drug products. Arrangements with healthcare providers, third-party payors and customers can expose pharmaceutical manufactures to broadly applicable fraud and abuse and other healthcare laws, including false claims, privacy and security, price reporting and physician sunshine laws or regulations. Some of our pre-commercial activities are subject to some of these laws. The applicable federal, state and foreign healthcare laws and regulations laws that may affect a pharmaceutical manufacture’s ability to operate include, but are not limited to:</w:t>
      </w:r>
    </w:p>
    <w:p>
      <w:pPr>
        <w:spacing w:after="0" w:line="74" w:lineRule="exact"/>
        <w:rPr>
          <w:sz w:val="20"/>
          <w:szCs w:val="20"/>
          <w:color w:val="auto"/>
        </w:rPr>
      </w:pPr>
    </w:p>
    <w:p>
      <w:pPr>
        <w:ind w:left="380" w:right="40" w:hanging="372"/>
        <w:spacing w:after="0" w:line="26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3" w:lineRule="exact"/>
        <w:rPr>
          <w:rFonts w:ascii="Times New Roman" w:cs="Times New Roman" w:eastAsia="Times New Roman" w:hAnsi="Times New Roman"/>
          <w:sz w:val="18"/>
          <w:szCs w:val="18"/>
          <w:color w:val="auto"/>
        </w:rPr>
      </w:pPr>
    </w:p>
    <w:p>
      <w:pPr>
        <w:ind w:left="380" w:right="80" w:hanging="372"/>
        <w:spacing w:after="0" w:line="26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Times New Roman" w:cs="Times New Roman" w:eastAsia="Times New Roman" w:hAnsi="Times New Roman"/>
          <w:sz w:val="18"/>
          <w:szCs w:val="18"/>
          <w:color w:val="auto"/>
        </w:rPr>
      </w:pPr>
    </w:p>
    <w:p>
      <w:pPr>
        <w:ind w:left="380" w:right="100" w:hanging="372"/>
        <w:spacing w:after="0" w:line="312"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31" w:lineRule="exact"/>
        <w:rPr>
          <w:rFonts w:ascii="Times New Roman" w:cs="Times New Roman" w:eastAsia="Times New Roman" w:hAnsi="Times New Roman"/>
          <w:sz w:val="17"/>
          <w:szCs w:val="17"/>
          <w:color w:val="auto"/>
        </w:rPr>
      </w:pPr>
    </w:p>
    <w:p>
      <w:pPr>
        <w:ind w:left="380" w:right="28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as well as their covered subcontractors;</w:t>
      </w:r>
    </w:p>
    <w:p>
      <w:pPr>
        <w:spacing w:after="0" w:line="74"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annually to the Centers for Medicare &amp; Medicaid Services, or CMS, certain financial arrangements with physicians and teaching hospitals, as defined in the Patient Protection and Affordable Care Act, as amended by the Health Care and Education Reconciliation Act, or collectively the ACA, and its implementing regulations, including reporting any “transfer of value” made or distributed to prescribers and teaching hospitals, and reporting any ownership and investment interests held by physicians and their immediate family members during the preceding calendar year; and</w:t>
      </w:r>
    </w:p>
    <w:p>
      <w:pPr>
        <w:spacing w:after="0" w:line="74" w:lineRule="exact"/>
        <w:rPr>
          <w:rFonts w:ascii="Times New Roman" w:cs="Times New Roman" w:eastAsia="Times New Roman" w:hAnsi="Times New Roman"/>
          <w:sz w:val="18"/>
          <w:szCs w:val="18"/>
          <w:color w:val="auto"/>
        </w:rPr>
      </w:pPr>
    </w:p>
    <w:p>
      <w:pPr>
        <w:ind w:left="380" w:right="60" w:hanging="372"/>
        <w:spacing w:after="0" w:line="254"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it may be subject to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operations, as well as additional reporting obligations and oversight if subject to a corporate integrity agreement or other agreement to resolve allegations of non-compliance with these laws. In addition, the approval and commercialization of drug products outside the United States may also subject a pharmaceutical manufacturer to foreign equivalents of the healthcare laws mentioned above, among other foreign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Efforts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Over the last several years, there have been federal and state proposals and legislation enacted regarding the pricing of pharmaceutical and biopharmaceutical products, limiting coverage and reimbursement for drugs and other medical products and making changes to healthcare financing and the delivery of care in the United States.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2010, President Obama signed into law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CMS, to test innovative payment and service delivery models to lower Medicare and Medicaid spending.</w:t>
      </w:r>
    </w:p>
    <w:p>
      <w:pPr>
        <w:spacing w:after="0" w:line="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repeal legislation, several bills affecting the implementation of certain taxes under the ACA have been signed into law. The Tax Cuts and Jobs Act of 2017, or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Inflation Reduction Act,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since the ACA was enacted. For example, as a result of the Budget Control Act of 2011, providers are subject to Medicare payment reductions of 2% per fiscal year, which went into effect on April 1, 2013. This 2% reduction was temporarily suspended during the COVID-19 pandemic, but has since been reinstated and, unless Congress and/or the Executive Branch take additional action, will begin to increase gradually starting in April 2030, reaching 4% in April 2031, until sequestration ends in October 2031.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In November 2019, CMS issued a final rule finalizing the changes to the Medicare Quality Payment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2" w:name="page23"/>
    <w:bookmarkEnd w:id="22"/>
    <w:p>
      <w:pPr>
        <w:spacing w:after="0" w:line="25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30,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these provisions has also been delayed by the IRA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President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subjects drug manufacturers to civil monetary penalties and a potential excise tax for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began to take effect progressively starting in fiscal year 2023, although they may be subject to legal challenges. It is currently unclear how the IRA will be effectuated but is likely to have a significant impact on the pharmaceutical industry.</w:t>
      </w:r>
    </w:p>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U.K. Bribery Act and Other Laws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United States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7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operations are also subject to non-United States anti-corruption laws such as the U.K. Bribery Act 2010, or the Bribery Act. As with the FCPA, these laws generally prohibit us and our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 including applicable export control regulations, economic sanctions and embargoes on certain countries and persons, anti-money laundering laws, import and customs requirements and currency exchange regulations, collectively referred to as trade control laws.</w:t>
      </w:r>
    </w:p>
    <w:p>
      <w:pPr>
        <w:spacing w:after="0" w:line="7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Failure to comply with the Bribery Act, the FCPA and other anti-corruption laws and trade control laws could subject us to criminal and civil penalties, disgorgement and other sanctions and remedial measures, and legal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3" w:name="page24"/>
    <w:bookmarkEnd w:id="23"/>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We believe our novel hunTR discovery engine demonstrated the ability to identify proprietary TCRs, allowing us to further expand and advance our pipeline with multiple solid tumor programs under development. In addition, our non-viral transposon method of expressing TCRs,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was less complex relative to many of our competitors’ viral approaches. Finally, our TCR-T Phase 1/2 Library Trial was designed to allow us to treat patients quickly and efficiently in many different indications with a tumor mutation and HLA matching one or more of the several TCRs in our library, which we believe gives us a distinct competitive advantage. However, the development and commercialization for new products to treat cancer, including the indications we pursued, is highly competitive and considerable competition exists from major pharmaceutical, biotechnology and specialty cancer companies. Many of these companies have more experience in preclinical and clinical development, manufacturing, regulatory, and global commercialization. Given the rapidly advancing and changing science and technologies in the industry, they may compete with us in hiring personnel, setting up clinical study sites, recruiting patients for clinical trials, and procuring technologies and licenses complementary to, or required for, our programs. We are also competing with academic institutions, governmental agencies and private organizations that are conducting research in the field of cancer.</w:t>
      </w:r>
    </w:p>
    <w:p>
      <w:pPr>
        <w:spacing w:after="0" w:line="8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2Seventy Bio, Achilles Therapeutics, Adaptimmune Therapeutics, Affini-T Therapeutics, Annoca, ArsenalBio, Athenex, BioNTech, Bristol-Myers Squibb, Immatics, Iovance Biotherapeutics, Kite (a Gilead company), Lion TCR, Lyell Immunopharma, Medigene, Nurix Therapeutics, Neogene Therapeutics (a member of the AstraZeneca group), NexImmune, PACT Pharma, Precigen, Tactiva Therapeutics, Takara Bio, TCR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Therapeutics, T-Cure BioScience, T-knife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Companies in the T-cell therapy segment that have target discovery platforms like ours include Adaptive Biotechnologies, Affini-T Therapeutics, Enara Bio, Immatics, Neogene Therapeutics (a member of the AstraZeneca group), PACT Pharma,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Captain T Cell and Crispr Therapeutics.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and Precision Biosciences,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non-cellular treatments offered by other companies, such as Amgen, AstraZeneca, Bristol-Myers Squibb, Immatics, Immunocore, Incyte, Merck, Mirati and Roche.</w:t>
      </w:r>
    </w:p>
    <w:p>
      <w:pPr>
        <w:spacing w:after="0" w:line="7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face competition on a broader spectrum of the oncology market that is more common, cost-effective and reimbursable, such as surgery, radiation and other drug therapies like chemotherapy, hormone therapy, biologic therapy such as monoclonal and bispecific antibodies, or a combination of any of these therapies. If any of our TCR-T therapies are approved, they may not be as competitive as other therapies, to the extent they are used in combinations with these therapies. Insurers and other third-party payors may also encourage use of certain products; thus, gaining market acceptance or market share for any of our TCR-T therapies could pose difficulties. Finally, standard of care could evolve or change throughout the clinical development of our product candidates.</w:t>
      </w:r>
    </w:p>
    <w:p>
      <w:pPr>
        <w:spacing w:after="0" w:line="7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Moreover, if our competitors develop and market a drug that is safer, more effective with fewer side effects, easier to administer, or less expensive, we could see a less favorable market opportunity for our TCR-T therapy candidates. Our competition may also receive FDA or other regulatory approval for their products more quickly than we do, which could give them a first mover advantage and a strong market position before we are able to commercialize our products. If approved, key competitive factors that may affect the success of our TCR-T candidates are likely their efficacy, safety, ease of administering, price and reimbursement from insurance or government.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March 1, 2024, we had 1 full-time employee who is engaged in administration and no part-time employees. None of our employees are subject to a collective bargaining agreement and we believe our relations with our employees are good.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additional employees.</w:t>
      </w:r>
    </w:p>
    <w:p>
      <w:pPr>
        <w:spacing w:after="0" w:line="117"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We endeavor to recruit the best people for the position regardless of gender, ethnicity or other protected traits and it is our policy to fully comply with all laws applicable to discrimination in the workplace. Our diversity, equity and inclusion principles are also reflected in our employee training and policies.</w:t>
      </w:r>
    </w:p>
    <w:p>
      <w:pPr>
        <w:spacing w:after="0" w:line="3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principal purposes of our equity incentive plans are to attract, retain and motivate selected employees, consultants and directors through the granting of stock-based compensation awards and cash-based performance bonus awards.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4" w:name="page25"/>
    <w:bookmarkEnd w:id="24"/>
    <w:p>
      <w:pPr>
        <w:ind w:right="740"/>
        <w:spacing w:after="0" w:line="375" w:lineRule="auto"/>
        <w:rPr>
          <w:sz w:val="20"/>
          <w:szCs w:val="20"/>
          <w:color w:val="auto"/>
        </w:rPr>
      </w:pPr>
      <w:r>
        <w:rPr>
          <w:rFonts w:ascii="Times New Roman" w:cs="Times New Roman" w:eastAsia="Times New Roman" w:hAnsi="Times New Roman"/>
          <w:sz w:val="18"/>
          <w:szCs w:val="18"/>
          <w:color w:val="auto"/>
        </w:rPr>
        <w:t xml:space="preserve">In 2023 and the first quarter of 2024, we entered into several material consulting agreements to ensure smooth transitions and business continuity. </w:t>
      </w:r>
      <w:r>
        <w:rPr>
          <w:rFonts w:ascii="Times New Roman" w:cs="Times New Roman" w:eastAsia="Times New Roman" w:hAnsi="Times New Roman"/>
          <w:sz w:val="18"/>
          <w:szCs w:val="18"/>
          <w:b w:val="1"/>
          <w:bCs w:val="1"/>
          <w:i w:val="1"/>
          <w:iCs w:val="1"/>
          <w:color w:val="auto"/>
        </w:rPr>
        <w:t>The Boyle Separation Agreement and Consulting Agreement</w:t>
      </w:r>
    </w:p>
    <w:p>
      <w:pPr>
        <w:ind w:right="320"/>
        <w:spacing w:after="0" w:line="265" w:lineRule="auto"/>
        <w:rPr>
          <w:sz w:val="20"/>
          <w:szCs w:val="20"/>
          <w:color w:val="auto"/>
        </w:rPr>
      </w:pPr>
      <w:r>
        <w:rPr>
          <w:rFonts w:ascii="Times New Roman" w:cs="Times New Roman" w:eastAsia="Times New Roman" w:hAnsi="Times New Roman"/>
          <w:sz w:val="18"/>
          <w:szCs w:val="18"/>
          <w:color w:val="auto"/>
        </w:rPr>
        <w:t>On December 22, 2023, we entered into a Separation and Release Agreement, effective December 22, 2023, with Kevin S. Boyle, Sr. (the “Separation Agreement”), the Company’s Chief Executive Officer, in connection with Mr. Boyle’s termination. Pursuant to the terms of his employment agreement, upon his termination Mr. Boyle was deemed to automatically resign from our Board of Directors.</w:t>
      </w:r>
    </w:p>
    <w:p>
      <w:pPr>
        <w:spacing w:after="0" w:line="69"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7"/>
          <w:szCs w:val="17"/>
          <w:color w:val="auto"/>
        </w:rPr>
        <w:t>Pursuant to the terms of the Separation Agreement, and subject to customary conditions, we agreed to pay Mr. Boyle a one-time separation payment in an amount equal to six months of Mr. Boyle’s base salary and the cost of six months of COBRA premiums for Mr. Boyle, or approximately $331,990 less all applicable income and payroll taxes, deductions and withholdings. Mr. Boyle has agreed to make himself reasonably available to us to provide information related to his transition. The Separation Agreement also provides for a customary mutual release of all claims by us and Mr. Boyle against one another.</w:t>
      </w:r>
    </w:p>
    <w:p>
      <w:pPr>
        <w:spacing w:after="0" w:line="5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also entered into a consulting agreement (the “Boyle Consulting Agreement”), effective January 1, 2024, with Mr. Boyle pursuant to which he will continue providing strategic and advisory services to us. The Boyle Consulting Agreement will continue for a period of six months. The Boyle Consulting Agreement provides for compensation at a fixed rate of $15,000 per month and reimbursement for any usual and customary expenses incurred by Mr. Boyle in connection with performing services pursuant to the Boyle Consulting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Deniger Separation and Lackey Separation &amp; Consulting Agreements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previously reported, on November 10, 2023, we terminated the employment of Melinda Lackey, Senior Vice President, Legal and Administration, and Drew Deniger, Vice President, Research and Development, “Without Cause” (as defined in their respective employment agreements) and, per their respective retention agreements, not because either failed to perform their duties at an “Acceptable Level” (as defined therein), effective November 15, 2023. In connection with their termination, we paid $44,998 to Ms. Lackey pursuant to her retention letter agreement, dated August 14, 2023, and $45,623 to Dr. Deniger pursuant to his retention letter agreement, dated September 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Deniger Separation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terms of the separation and release agreement between us and Dr. Deniger (the “Deniger Separation Agreement”), Dr. Deniger has agreed to remain reasonably available to the Company, and to reasonably cooperate and assist us, in connection with (i) any investigations, litigation or other proceedings in which he was involved while an employee and (ii) our consideration of strategic alternatives relating to its scientific assets. Subject to customary conditions, we paid Dr. Deniger a one-time separation payment in an amount equal to $182,500, less all applicable income and payroll taxes, deductions and withholdings. The Deniger Separation Agreement also provides for a customary release of all claims against us by Dr. Deniger.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Lackey Separation Agreement and Consulting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terms of the separation and release agreement between us and Ms. Lackey (the “Lackey Separation Agreement”), Ms. Lackey agreed to remain reasonably available to the Company, and to reasonably cooperate and assist us, in connection with any investigations, litigation or other proceedings in which she was involved while an employee. Subject to customary conditions, we paid Ms. Lackey a one-time separation payment in an amount equal to $180,000, less all applicable income and payroll taxes, deductions and withholdings. The Lackey Separation Agreement also provides for a customary release of all claims against us by Ms. Lackey.</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entered into a consulting agreement (the “Lackey Consulting Agreement”), effective November 16, 2023, with Ms. Lackey pursuant to which Ms. Lackey will continue providing legal services to us, including assisting in its ongoing exploration of strategic alternatives. The Lackey Consulting Agreement will continue indefinitely until terminated by the Company or Ms. Lackey upon 30 days prior written notice. The Lackey Consulting Agreement provides for compensation at a fixed rate of $400 per hour and reimbursement by the Company for any usual and customary expenses incurred by Ms. Lackey in connection with performing services pursuant to the Lackey Consulting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Wong's Departure and Mr. Groenewald Engagement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15, 2024, Michael Wong gave notice of his resignation as Vice President, Finance, of the Company effective February 23, 2024.</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22, 2024, the Company and Ferdinand Groenewald entered into a consulting agreement (the “Consulting Agreement”), effective February 22, 2024, pursuant to which Mr. Groenewald will lead accounting and financial reporting activities of the Company. Mr. Groenewald will serve as the Company’s Vice President, Finance. The Consulting Agreement will continue indefinitely until terminated by either party upon 30 days’ advance notice. The Consulting Agreement provides for compensation at a fixed rate of $15,000 per month and reimbursement by the Company for any usual and customary business expenses incurred by Mr. Groenewald in connection with performing services pursuant to the Consulting Agreement. In addition, the Consulting Agreement provides for the Company to indemnify Mr. Groenewald on terms customary for officers.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Since July 2022, Mr. Groenewald, age 39, has served in several capacities at the CFO Squad, which provides outsourced accounting and consulting services. From January 2, 2022 to July 31, 2022, Mr. Groenewald had served as the Chief Accounting Officer of Muscle Maker, Inc., a Nasdaq-listed company. From September 2018 to January 2, 2022, Mr. Groenewald served as the Chief Financial Officer of Muscle Maker,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Inc. From January 25, 2018 through May 29, 2018, Mr. Groenewald served as the Vice President of Finance, Principal Financial Officer and Principal Accounting Officer of Muscle Maker, Inc., Muscle Maker Development, LLC and Muscle Maker Corp., LLC. In addition, from October 2017 through May 29, 2018, he served as the controller of Muscle Maker, Inc. Mr. Groenewald is a certified public accountant with significant experience in finance and accounting. From July 2018 through August 2018, he served as senior financial reporting accountant of Wrinkle Gardner &amp; Company, a full-service tax, accounting and business consulting firm. From February 2017 to October 2017, Mr. Groenewald served as Senior Financial Accounting Consultant at Pharos Advisors, Inc. serving a broad range of industries. From November 2013 to February 2017, he served as a Senior Staff Accountant at Financial Consulting Strategies, LLC, where he provided a broad range of accounting, financial reporting, and pre-auditing services to various industries. From August 2015 to December 2015, Mr. Groenewald served as a Financial Reporting Analyst at Valley National Bank. Mr. Groenewald holds a Bachelor of Science in accounting from the University of South Africa. Mr. Groenewald has served as a member of the Board of Directors of (i) HeartCore Enterprises, Inc., a company listed on the Nasdaq Capital Market, since January 24, 2022; (ii) SYLA Technologies Co., Ltd., a publicly reporting company that is listed on the Nasdaq Capital Market, since December 1, 2022; and (iii) Sushi Ginza Onodera, Inc., a company that has publicly filed a registration statement on Form S-1 in connection with its initial public offering, since July 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originally incorporated in Colorado in September 1998 (under the name Net Escapes, Inc.) and later changed our name to “EasyWeb, Inc.” in February 1999. We re-incorporated in Delaware on May 16, 2005 under the same name. On September 13, 2005, we completed a “reverse” acquisition of privately held Ziopharm, Inc., a Delaware corporation. To effect this transaction, we caused ZIO Acquisition Corp., our wholly-owned subsidiary, to merge with and into Ziopharm, Inc., with Ziopharm, Inc. surviving as our wholly owned subsidiary. Following the merger, we caused Ziopharm, Inc. to merge with and into us and we changed our name to “Ziopharm Oncology, Inc.” As a result, Ziopharm, Inc. became the registrant with the Securities and Exchange Commission, or the SEC, and the historical financial statements of Ziopharm, Inc. became our historical financial statements. On January 25, 2022, we filed a Certificate of Amendment to our Amended and Restated Certificate of Incorporation with the Delaware Secretary of State to change our name to Alaunos Therapeutics,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2617 Bissonnet Street, Suite 225, Houston, Texas 77005, and our telephone number is (346) 355-4099.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website address is www.alaunos.com. Our website and information included in or linked to our website are not part of this Annual Report on Form 10-K. We file reports with the SEC, which we make available on our website free of charge. These reports include annual reports on Form 10-K, quarterly reports on Form 10-Q, current reports on Form 8-K and amendments to such reports, each of which is provided on our website as soon as reasonably practicable after we electronically file such materials with or furnish them to the SEC. In addition, the SEC maintains a website (www.sec.gov) that contains reports, proxy and information statements and other information regarding issuers, like us, that file electronically with the SEC.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stock is risky. In addition to the other information in this Annual Report on Form 10-K, you should carefully consider the following risk factors in evaluating us and our business. If any of the events described in the following risk factors were to occur, our business, financial condition, results of operations, cash flows and prospects would likely be materially and adversely affected. In that event, the trading price of our common stock could decline, and you could lose all or a part of your investment in our common stock. Therefore, we urge you to carefully review this entire Annual Report on Form 10-K and consider the risk factors discussed below. Moreover, the risks described below are not the only ones that we face. Additional risks not presently known to us or that we currently deem immaterial may also affect our business, financial condition, results of operations, cash flows and prospects. Additional risks that we currently do not know about, or that we currently believe to be immaterial, may also impair our business, financial condition, results of operations, cash flows and prospects. Certain statements below are forward-looking statements. See “Special Note Regarding Forward-Looking Statements”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STRATEGIC REPRIORITIZATION</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reprioritization may not be successful, may not yield the desired results and we may be unsuccessful in identifying and implementing any strategic transaction.</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14, 2023, we announced a strategic reprioritization of our business and wind down of our TCR-T Library Phase 1/2 Trial. In connection with the reprioritization, we have reduced our workforce by approximately 95% to date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Fitzgerald &amp; Co., or Cantor, to act as strategic advisor for this process. In addition, while we are evaluating several potential in-licensing opportunities in obesity, oncology and virology, there is no assurance that any of these potential opportunities will come to fruition.</w:t>
      </w:r>
    </w:p>
    <w:p>
      <w:pPr>
        <w:spacing w:after="0" w:line="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believe there is value in our hunTR® TCR discovery platform. However, the platform is experimental. There can be no assurances that we can succeed in improving the platform’s appeal and increasing its value. We may be unable to successfully monetize the platform or any TCRs we discovered, either through partnerships or out-licensing.</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to devote substantial time and resources to exploring strategic alternatives that our Board of Directors believes will maximize stockholder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process of continuing to evaluate these strategic options may be very costly, time-consuming and complex and we have incurred, and may in the future incur, significant costs related to this continued evaluation, such as legal and accounting fees and expenses and other related charges.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potential counterparties in a strategic transaction involving the Company may place minimal or no value on our assets or our public listing. Further, should we resume the development of our product candidates,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and continue development of our product candidates and may attribute little or no value, in such a transaction, to those product candidates.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 our business and decreases the remaining cash available for use in our business or the execution of our strategic plan.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stockholders.</w:t>
      </w:r>
    </w:p>
    <w:p>
      <w:pPr>
        <w:spacing w:after="0" w:line="7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If we are not successful in setting forth a new strategic path for the Company,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27" w:name="page28"/>
    <w:bookmarkEnd w:id="2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consummate a transaction from our strategic assessment, we may fail to realize all of the anticipated benefits of the transaction, those benefits may take longer to realize than expected, or we may encounter integration difficulties.</w:t>
      </w:r>
    </w:p>
    <w:p>
      <w:pPr>
        <w:spacing w:after="0" w:line="5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Our ability to realize the anticipated benefits of any potential business combination or any other result from our strategic assessment is highly uncertain. Any anticipated benefits will depend on a number of factors, including our ability to integrate with any future business partner, the success of any future business we may engage in following the transaction and our ability to obtain value for our product candidates or technologies, if divested. The process may be disruptive to our business and the expected benefits may not be achieved within the anticipated timeframe, or at all. The failure to meet the challenges involved and to realize the anticipated benefits of any potential transaction could adversely affect our business and financial condition. Furthermore, our stockholders may experience substantial dilution as a result of the transaction without receiving the expected commensurate benefit, or only receiving part of the commensurate benefit to the extent we are able to realize only part of the expected strategic and financial benefits currently anticipated from a transaction.</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financial resources to continue as a going concern, including through the strategic review process, and if we raise additional funds, this may materially and negatively affect the value of your investment in our common stock.</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2023, we had a net loss of $35.1 million, and, as of December 31, 2023, our accumulated deficit since inception in 2003 was $915.8 million. Although we are in the process of implementing a restructuring plan, or the Plan, whereby we are winding down our TCR-T Library Phase 1/2 Trial, other development programs and implemented a reduction in force, in order to reduce operating expenditures and net losses, as discussed above, there can be no assurances we will be successful at all, or in the amount we anticipate. In connection with our strategic reprioritization, we unilaterally terminated the CRADA with the NCI in August 2023 and the Patent License with the NCI in October 2023.</w:t>
      </w:r>
    </w:p>
    <w:p>
      <w:pPr>
        <w:spacing w:after="0" w:line="7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2023, we have approximately $6.1 million of cash and cash equivalents. Following implementation of the Plan, we anticipate our cash resources will be sufficient to fund our operations into the third quarter of 2024. We have not set a timetable for completion of the strategic review process and the timing of consummating a strategic transaction, if any, is not entirely within our control. We have no committed sources of additional capital at this time. Accordingly, we could exhaust our current cash resources prior to the identification or consummation of a suitable strategic alternative, requiring the Company to raise additional capital.</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our exploration of strategic alternatives will make it more difficult to raise additional capital. 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which may further constrain our ability to execute on strategic alternatives.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follow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spacing w:after="0" w:line="7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forecast of cash resources is forward-looking information that involves risks and uncertainties, and our actual cash requirements may vary materially from our current expectations for a number of other factors that may include, but are not limited to, the progress of our strategic review and the pursuit of and progress on one or more options identified in such review. Global political and economic events, including the war in Ukraine and increased inflation, have already resulted in a significant disruption of global financial markets. If the disruption persists and deepens, we could experience an inability to access additional capital or make the terms of any available financing less attractive, which could in the future negatively affect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completing a strategic transaction, we may be exposed to other operational and financial risks.</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6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negotiation and consummation of any such transaction may also require more time or greater cash resources than we anticipate and expose us to other operational and financial risks, including:</w:t>
      </w:r>
    </w:p>
    <w:p>
      <w:pPr>
        <w:spacing w:after="0" w:line="5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near-term and long-term expenditures;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liabilities;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or integration costs;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fund future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28" w:name="page29"/>
    <w:bookmarkEnd w:id="28"/>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incurrence of non-recurring, impairment or other charges;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counterparty business with our operations and personnel;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 due to changes in management and ownership;</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future litigation.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results of operations, cash flows and prospects.</w:t>
      </w:r>
    </w:p>
    <w:p>
      <w:pPr>
        <w:spacing w:after="0" w:line="22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and exploration of strategic alternatives.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consummate a strategic transaction depends on our ability to retain our remaining employees and consultants.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our remaining employees and consultants, the loss of whose services may adversely impact our ability to consummate such transaction. In connection with the evaluation of strategic alternatives and in order to extend our resources, on August 14, 2023, we implemented the Plan that included reducing our workforce. The reduction in force has impacted approximately 95% of our workforce to date, including key members of our management team. Our cash conservation activities may yield unintended consequences, such as attrition beyond our planned reduction in workforce and reduced employee morale, which may cause remaining employees and consultants to seek alternative opportunities. If we are unable to successfully retain our remaining personnel, we are at risk of a disruption to our exploration and consummation of a strategic alternative as well as business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restructuring and the associated headcount reduction may not result in anticipated savings, could result in total costs and expenses that are greater than expected and could significantly disrupt our business.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14, 2023, in connection with the evaluation of strategic alternatives and in order to extend our resources, our Board of Directors approved the Plan that included reducing our workforce, which has impacted approximately 95% of our workforce to date. In addition, the Plan included a discontinuation of our clinical development programs and further prioritization of our resources as we assess strategic alternatives. We incurred approximately $1.5 million for retention, severance and other employee termination-related costs starting in the third quarter of 2023 through to the fourth quarter of 2023.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the Plan may be disruptive to our operations. For example, our headcount reductions could yield unanticipated consequences, such as increased difficulties in implementing our business strategy, including retention of our remaining employees and consultants. Any employee litigation related to the headcount reduction could be costly and prevent management from fully concentrating on the business.</w:t>
      </w:r>
    </w:p>
    <w:p>
      <w:pPr>
        <w:spacing w:after="0" w:line="8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9" w:name="page30"/>
    <w:bookmarkEnd w:id="29"/>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securities class action litigation, that could divert management’s attention and harm the Company’s business, and insurance coverage may not be sufficient to cover all costs and damages.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past, litigation, including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or other governmental agencies.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 Delisting Determination from Nasdaq. Delisting could prevent us from maintaining an active, liquid and orderly trading market for our common stock and may materially and adversely impact our ability to consummate certain strategic transactions.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publicly or privately sell equity securities and the liquidity of our common stock could be adversely affected if we are delisted from the Nasdaq Capital Market or if we are unable to transfer our listing to another stock market. On January 4, 2023,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were provided a period of 180 calendar days, or until July 3, 2023, or the Compliance Date, to regain compliance with the Bid Price Requirement. On June 22, 2023, we applied to transfer our listing from the Nasdaq Global Select Market to the Nasdaq Capital Market, or the Transfer. On July 5, 2023, Nasdaq notified us that the Transfer was approved, and that, in connection with the Transfer, we were eligible for an additional 180 calendar day period, or until January 2, 2024, or the Extended Compliance Date, to regain compliance with the Minimum Bid Price Rule.</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8, 2023, we received the Delisting Determination notifying us that, because the closing bid price for our common stock was below $0.10 per share for 10 consecutive trading days during the Extended Compliance Period, the Staff has determined to suspend trading of our common stock on Nasdaq, effective November 17, 2023, and file a Form 25-NSE with the SEC to remove our common stock from listing and registration under the Securities Exchange Act of 1934, as amended, unless we timely request an appeal of the Delisting Determination to the Panel. On November 14, 2023, we timely filed a notice requesting a hearing before the Panel to appeal the Delisting Determination. A hearing was initially scheduled for February 15, 2024 and subsequently rescheduled to January 25, 2024. Our common stock continued to trade on the Nasdaq Capital Market Exchange, or the Exchange, under the symbol "TCRT" during this time. Following the hearing, on February 5, 2024, the Panel granted our request to continue listing on the Exchange subject to certain conditions until February 15, 2024. These conditions included the completion of the already shareholder approved 1-for-15 reverse stock split and compliance with the Minimum Bid Price Rule for ten consecutive trading days. We were required to provide prompt notification to the Panel of any "significant" events during the exception period. We executed this reverse stock split on January 31, 2024. On February 16, 2024, we were notified by Nasdaq that we had regained compliance with the Minimum Bid Price Rule. While we are now in compliance, we are now subject to a Mandatory Panel Monitor until February 16, 2025. If we fail to comply with the Minimum Bid Price Rule during this period, we will not be permitted to provide the Staff with a compliance plan and Staff will not be permitted to grant extra time to us to regain compliance. In addition, we would be issued a Delist Determination Letter with the opportunity to request a new hearing with the initial Panel, or a newly convened Hearings Panel if the initial Panel is not available.</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we would expect it to have an adverse impact on our ability to consummate certain strategic alternatives.</w:t>
      </w:r>
    </w:p>
    <w:p>
      <w:pPr>
        <w:spacing w:after="0" w:line="8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30" w:name="page31"/>
    <w:bookmarkEnd w:id="30"/>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approval by our shareholders for a second reverse stock split of our common stock to enable the Board of Directors to respond to a Panel if we fail to comply with the Minimum Bid Price Rule during the monitor period.</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our stockholders approved a reverse stock split of the issued and outstanding shares of our common stock, our treasury stock, and a proportionate reduction in the shares of our authorized common stock, if needed in the discretion of our Board of Directors to regain compliance with the Minimum Bid Price Rule, at a ratio between the range of 1-for-5 and 1-for-15, inclusive, at any time on or before June 6, 2024, we have already executed this approved stock split to achieve compliance to the November delisting notice. If we receive a second delisting notice during the monitor period, we have to convene a special shareholder meeting to obtain approval for another reverse stock split. There is no guarantee that the Panel will grant us an exception to convene such a meeting. There is no guarantee that the shareholders would approve another reserve stock split.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may not approve another reverse stock split.</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Even if we are able to convene a shareholders meeting within the time allowed by the Panel should we fail to comply with the Minimum Bid Price Rule during the monitor period, there is no guarantee that the shareholders would approve a reverse stock split. Failure to acquire shareholder approval of a second reverse stock split would negatively effect our ability to regain compliance with the Minimum Bid Price Rule, which would result in our common stock being delisted from the Exchange.</w:t>
      </w:r>
    </w:p>
    <w:p>
      <w:pPr>
        <w:spacing w:after="0" w:line="7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do get approval and effectuate a second reverse stock split, the trading price of our common stock may not meet the Minimum Bid Price Rule</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do effect a second reverse stock split, there can be no assurance that the market price per new share of our common stock after the reverse stock split will remain unchanged or increase in proportion to the reduction in the number of old shares of our common stock outstanding before the reverse stock split. Other factors, such as our financial results, market conditions and the market perception of our business may adversely affect the market price of our common stock and there can be no assurance that a reverse stock split, if completed, will result in the intended benefits, that the market price of our common stock will increase in proportion to the reduction in the number of shares of our common stock outstanding before the reverse stock split or that the market price of our common stock will not decrease in the future. If the market price of our common stock does not increase the price per share of our common stock above Nasdaq’s minimum bid price threshold of $1.00 per share or if the market price of our common stock does not remain above Nasdaq’s minimum bid price threshold of $1.00 per share, our common stock may still be delisted from Nasdaq. There is also no guarantee that the Panel agrees that implementing a reverse stock split warrants reversing the Staff's delisting determination, regardless of the price at which our common stock would trade following the split.</w:t>
      </w:r>
    </w:p>
    <w:p>
      <w:pPr>
        <w:spacing w:after="0" w:line="1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light of the recent reverse stock split, or if we implement a second reverse stock split during the monitor period, liquidity of our common stock may be materially and adversely affected.</w:t>
      </w:r>
    </w:p>
    <w:p>
      <w:pPr>
        <w:spacing w:after="0" w:line="5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light of our recent reverse stock split, or if we have to effect a second reverse stock split to avoid a delisting pursuant to a new Delisting Determination during the monitor period, the liquidity of the shares of our common stock may be affected materially and adversely by any such reverse stock split given the reduced number of shares of common stock that will be outstanding following the reverse stock split, especially if the market price of our common stock does not increase as a result of the reverse stock split.</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Following any reverse stock split, the resulting market price of our common stock may not attract new investors and may not satisfy the investing requirements of those investors. Although we believe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17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identify material weaknesses in the future or otherwise fail to maintain an effective system of internal controls, which may result in material misstatements of our financial statements or could have a material adverse effect on our business and trading price of our securities.</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of 2002, or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2" w:right="35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financial condition, results of operations, cash flows and prospects could be materially harmed and investors could lose confidence in our reported financial information.</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non-viral adoptive TCR-T cell therapies could be considered a new approach to cancer treatment, the successful development of which is subject to significant challenges.</w:t>
      </w:r>
    </w:p>
    <w:p>
      <w:pPr>
        <w:spacing w:after="0" w:line="5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color w:val="auto"/>
        </w:rPr>
        <w:t>We have employed technologies such as the technology licensed from MD Anderson pursuant to the MD Anderson License, described above, from Precigen, pursuant to the A&amp;R License Agreement, and from the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is subject to a number of challenges, including:</w:t>
      </w:r>
    </w:p>
    <w:p>
      <w:pPr>
        <w:spacing w:after="0" w:line="59" w:lineRule="exact"/>
        <w:rPr>
          <w:sz w:val="20"/>
          <w:szCs w:val="20"/>
          <w:color w:val="auto"/>
        </w:rPr>
      </w:pPr>
    </w:p>
    <w:p>
      <w:pPr>
        <w:ind w:left="760" w:right="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the patient or third parties that can be administered to the patient;</w:t>
      </w:r>
    </w:p>
    <w:p>
      <w:pPr>
        <w:spacing w:after="0" w:line="116"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T-cells ex vivo and infusing the T cells back into the patient;</w:t>
      </w:r>
    </w:p>
    <w:p>
      <w:pPr>
        <w:spacing w:after="0" w:line="54" w:lineRule="exact"/>
        <w:rPr>
          <w:rFonts w:ascii="Times New Roman" w:cs="Times New Roman" w:eastAsia="Times New Roman" w:hAnsi="Times New Roman"/>
          <w:sz w:val="18"/>
          <w:szCs w:val="18"/>
          <w:color w:val="auto"/>
        </w:rPr>
      </w:pPr>
    </w:p>
    <w:p>
      <w:pPr>
        <w:ind w:left="760" w:right="44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delivery of the potential products, which may increase the risk of adverse side effects of the chemotherapy itself or of the potential products;</w:t>
      </w:r>
    </w:p>
    <w:p>
      <w:pPr>
        <w:spacing w:after="0" w:line="54"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 and</w:t>
      </w:r>
    </w:p>
    <w:p>
      <w:pPr>
        <w:spacing w:after="0" w:line="54" w:lineRule="exact"/>
        <w:rPr>
          <w:rFonts w:ascii="Times New Roman" w:cs="Times New Roman" w:eastAsia="Times New Roman" w:hAnsi="Times New Roman"/>
          <w:sz w:val="18"/>
          <w:szCs w:val="18"/>
          <w:color w:val="auto"/>
        </w:rPr>
      </w:pPr>
    </w:p>
    <w:p>
      <w:pPr>
        <w:ind w:left="760" w:right="80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revoke the notice to terminate the Patent License or subsequently acquire substantially similar rights, our inability to use the technology currently licensed to us pursuant to the Patent License.</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Should we resume our clinical programs, we cannot assure you that we will be able to successfully address these challenges, which could prevent us from achieving our research, development and commercialization goals. In addition, these challenges may diminish the value of our assets in the execution of any strategic alternative.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will need to recruit, hire and retain qualified personnel.</w:t>
      </w:r>
    </w:p>
    <w:p>
      <w:pPr>
        <w:spacing w:after="0" w:line="12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Following our strategic reprioritization in August 2023, we have reduced our workforce by approximately 95</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to date. Our cash conservation activities may yield unintended consequences, such as attrition beyond our planned reduction in workforce and reduced employee morale, which may cause remaining employees and consultants to seek alternative opportunities. The reductions in force included employees responsible for key aspects of our clinical and other development programs.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2" w:name="page33"/>
    <w:bookmarkEnd w:id="32"/>
    <w:p>
      <w:pPr>
        <w:ind w:right="320"/>
        <w:spacing w:after="0" w:line="258" w:lineRule="auto"/>
        <w:rPr>
          <w:sz w:val="20"/>
          <w:szCs w:val="20"/>
          <w:color w:val="auto"/>
        </w:rPr>
      </w:pPr>
      <w:r>
        <w:rPr>
          <w:rFonts w:ascii="Times New Roman" w:cs="Times New Roman" w:eastAsia="Times New Roman" w:hAnsi="Times New Roman"/>
          <w:sz w:val="18"/>
          <w:szCs w:val="18"/>
          <w:color w:val="auto"/>
        </w:rPr>
        <w:t>Should we, in the future, resume development of our product candidates, we may not be able to attract or retain qualified management and commercial, scientific, manufacturing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termination of our licenses and research and development agreement with the National Cancer Institute could significantly limit our ability to resume our clinical trial or begin new ones focused on TCR-T.</w:t>
      </w:r>
    </w:p>
    <w:p>
      <w:pPr>
        <w:spacing w:after="0" w:line="15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terminated our TCR license with the National Cancer Institute. This will affect our ability to quickly resume TCR-T-based clinical trials as we will need to renegotiate this license or obtain approval from FDA to use TCRs that we validate internally. We may not obtain such approval or be able to validate TCRs internally quickly or at all, significantly hindering our ability to resume our clinical trial.</w:t>
      </w:r>
    </w:p>
    <w:p>
      <w:pPr>
        <w:spacing w:after="0" w:line="17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Precigen or MD Anderson or our research and development agreements with MD Anderson could result in the loss of significant rights and could significantly harm our ability to develop and commercialize our product candidates.</w:t>
      </w:r>
    </w:p>
    <w:p>
      <w:pPr>
        <w:spacing w:after="0" w:line="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clinical programs, if resumed, depend on patents, know-how, and proprietary technology that are licensed from others, particularly MD Anderson and Precigen, as well as the contributions by MD Anderson under our research and development agreements. Any termination of these licenses or research and development agreements could result in the loss of significant rights and could harm our ability to develop or monetize our product candidates. Disputes may also arise between us and these licensors regarding intellectual property subject to a license agreement, including those relating to:</w:t>
      </w:r>
    </w:p>
    <w:p>
      <w:pPr>
        <w:spacing w:after="0" w:line="7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Precigen, MD Anderson and our other licensors, infringe intellectual property of the licensor that is not subject to the applicable license agreement;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16"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obligations with respect to the use of the licensed technology in relation to our development and commercialization of our potential products under the MD Anderson License and the A&amp;R License Agreement;</w:t>
      </w:r>
    </w:p>
    <w:p>
      <w:pPr>
        <w:spacing w:after="0" w:line="54"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and Precigen, on acceptable terms, we may be unable to successfully monetize the affected potential products. On October 27, 2023, we provided the NCI the requisite notice of our intent to terminate the Patent License, effective 60 days from such notice, which is now terminated. If we are unable to acquire the rights from the NCI that we currently have under the Patent License following its termination, on terms acceptable to us or at all, our clinical development programs will be negatively impacted. We are generally also subject to all of the same risks with respect to protection of intellectual property that we license as we are for intellectual property that we own. If we or our licensors fail to adequately protect this intellectual property, our ability to monetize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which adds uncertainty to the possibility of challenge to our or our licensors’ patents in the future.</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Precigen by MD Anderson to technologies relating to TCR-T cell therapies and other related technologies.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MD Anderson License, we, together with Precigen, received an exclusive, worldwide license to certain technologies owned and licensed by MD Anderson including technologies relating to novel TCR-T cell therapies as well as either co-exclusive or non-exclusive licenses under certain related technologies. These proprietary methods and technologies, along with others within Precigen's technology suite and licensed to us by Precigen,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Precigen shall then have a fully-paid up, royalty free, perpetual, irrevocable and sublicensable license to use the licensed intellectual property thereunder.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3" w:name="page34"/>
    <w:bookmarkEnd w:id="33"/>
    <w:p>
      <w:pPr>
        <w:ind w:right="40"/>
        <w:spacing w:after="0" w:line="254"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 requirements in such funding agreement or contract, as applicable. MD Anderson may also terminate the agreement with written notice upon material breach by us or Precigen, if such breach has not been cured within 60 days of receiving such notice. In addition, the MD Anderson License will terminate upon the occurrence of certain insolvency events for both us or Precigen and may be terminated by the mutual written agreement of us, Precigen and MD Anderson.</w:t>
      </w:r>
    </w:p>
    <w:p>
      <w:pPr>
        <w:spacing w:after="0" w:line="8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Should we in the future resume development of our product candidates, there can be no assurance that we will be able to successfully perform under the MD Anderson License or regain our terminated rights under the Patent License and if the MD Anderson License is terminated, we may be prevented from achieving our business objectives.</w:t>
      </w:r>
    </w:p>
    <w:p>
      <w:pPr>
        <w:spacing w:after="0" w:line="17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may not be able to commercialize them, generate significant revenues, or attain profitability.</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Should we resume clinical development, unless and until we receive approval from the FDA and/or other foreign regulatory authorities for our product candidates, we cannot sell our products and will not have product revenues. Even if we should in the future resume development of our product candidates and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If we resume development of our product candidates, successful commercialization of any product candidates will require us to perform a variety of functions, including:</w:t>
      </w:r>
    </w:p>
    <w:p>
      <w:pPr>
        <w:spacing w:after="0" w:line="69"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1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subjects us to the risk of liability claims associated with the use of hazardous materials and chemicals.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contract research and development activities have involved and may in the future involve the controlled use of hazardous materials and chemicals. Although we believe that our safety procedures for using, storing, handling and disposing of these materials complied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results of operations, cash flows and prospects.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results of operations, cash flows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4" w:name="page35"/>
    <w:bookmarkEnd w:id="34"/>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w:t>
      </w:r>
    </w:p>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relied and, should we in the future resume development of our product candidates, will rely significantly on information technology and any failure, inadequacy, interruption or security lapse of that technology or loss of data, including any cybersecurity incidents, could compromise sensitive information related to our business, prevent us from accessing critical information or expose us to liability which could significantly harm our ability to operate our business effectively and adversely affect our business and reputation.</w:t>
      </w:r>
    </w:p>
    <w:p>
      <w:pPr>
        <w:spacing w:after="0" w:line="7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In the ordinary course of our business, we, our CROs and other third parties on which we rely collected and stored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Such legal claims or proceedings, liability or government enforcement actions may make it more difficult to consummate opportunities presented to us during our search for a strategic alternative. Unauthorized access, loss or dissemination could also disrupt our operations, including our ability to resume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its value may decrease and our business, or ability to consummate a strategic transaction,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search for a strategic alternative negatively impacted.</w:t>
      </w:r>
    </w:p>
    <w:p>
      <w:pPr>
        <w:spacing w:after="0" w:line="18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15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we may encounter difficulties enrolling patients in our clinical trials, and our clinical development activities could be delayed or otherwise materially and adversely affected.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5" w:name="page36"/>
    <w:bookmarkEnd w:id="35"/>
    <w:p>
      <w:pPr>
        <w:ind w:right="40"/>
        <w:spacing w:after="0" w:line="265" w:lineRule="auto"/>
        <w:rPr>
          <w:sz w:val="20"/>
          <w:szCs w:val="20"/>
          <w:color w:val="auto"/>
        </w:rPr>
      </w:pPr>
      <w:r>
        <w:rPr>
          <w:rFonts w:ascii="Times New Roman" w:cs="Times New Roman" w:eastAsia="Times New Roman" w:hAnsi="Times New Roman"/>
          <w:sz w:val="18"/>
          <w:szCs w:val="18"/>
          <w:color w:val="auto"/>
        </w:rPr>
        <w:t>We have experienced, and may in the future experience, difficulties in patient enrollment in our TCR-T Library Phase 1/2 Trial and any future clinical trials for a variety of reasons.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69"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as a result of halting our ongoing clinical development;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insurance approvals of trial participation; and</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Should we resume clinical development, our clinical trials would compete with other clinical trials for product candidates that are in the same therapeutic areas as our product candidates, and this competition could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would expect to conduct some of our clinical trials at the same clinical trial sites that some of our competitors use if we resume development of our product candidates,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our product candidates address patients with relapsed/refractory cancer, the patients are typically in the late stages of their disease and may experience disease progression independent from our product candidates, making them unevaluable for purposes of the clinical trial, which would require additional patient enrollment.</w:t>
      </w:r>
    </w:p>
    <w:p>
      <w:pPr>
        <w:spacing w:after="0" w:line="8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35" w:lineRule="exact"/>
        <w:rPr>
          <w:sz w:val="20"/>
          <w:szCs w:val="20"/>
          <w:color w:val="auto"/>
        </w:rPr>
      </w:pPr>
    </w:p>
    <w:p>
      <w:pPr>
        <w:ind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 should we resume development.</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and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collaborators’ clinical trials;</w:t>
      </w:r>
    </w:p>
    <w:p>
      <w:pPr>
        <w:spacing w:after="0" w:line="116" w:lineRule="exact"/>
        <w:rPr>
          <w:rFonts w:ascii="Times New Roman" w:cs="Times New Roman" w:eastAsia="Times New Roman" w:hAnsi="Times New Roman"/>
          <w:sz w:val="18"/>
          <w:szCs w:val="18"/>
          <w:color w:val="auto"/>
        </w:rPr>
      </w:pPr>
    </w:p>
    <w:p>
      <w:pPr>
        <w:ind w:left="760" w:right="680" w:hanging="378"/>
        <w:spacing w:after="0" w:line="28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6" w:name="page37"/>
    <w:bookmarkEnd w:id="36"/>
    <w:p>
      <w:pPr>
        <w:ind w:left="760" w:right="60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54" w:lineRule="exact"/>
        <w:rPr>
          <w:rFonts w:ascii="Times New Roman" w:cs="Times New Roman" w:eastAsia="Times New Roman" w:hAnsi="Times New Roman"/>
          <w:sz w:val="18"/>
          <w:szCs w:val="18"/>
          <w:color w:val="auto"/>
        </w:rPr>
      </w:pPr>
    </w:p>
    <w:p>
      <w:pPr>
        <w:ind w:left="760" w:right="32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760" w:right="38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unable to demonstrate that a product candidate is safe and effective, and that the therapeutic product candidate’s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760" w:right="200" w:hanging="378"/>
        <w:spacing w:after="0" w:line="265"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New Drug Application, premarket approval, or PMA, or other submission or to obtain regulatory approval in the United States or elsewhere, and such authorities may impose requirements for additional preclinical studies or clinical trials;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16"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4"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54" w:lineRule="exact"/>
        <w:rPr>
          <w:rFonts w:ascii="Times New Roman" w:cs="Times New Roman" w:eastAsia="Times New Roman" w:hAnsi="Times New Roman"/>
          <w:sz w:val="18"/>
          <w:szCs w:val="18"/>
          <w:color w:val="auto"/>
        </w:rPr>
      </w:pPr>
    </w:p>
    <w:p>
      <w:pPr>
        <w:ind w:left="760" w:right="76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should we resume clinical development, which would significantly harm our business, financial condition, results of operations, cash flows and prospects. In addition, even if we obtain regulatory approval of our product candidates, regulatory authorities may approve any of our product candidates for fewer or more limited indications than we request and may impose significant limitations in the form of narrow indications, warnings, or a Risk Evaluation and Mitigation Strategy, or REMS.</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7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halted development of our product candidates very early in our development efforts. Our most advanced product candidates were only in an early-stage clinical trial, which is very expensive and time-consuming. We cannot be certain if or when we will be able to submit a BLA to the FDA and the delay, or any failure, in completing clinical trials for our product candidates could significantly harm our business.</w:t>
      </w:r>
    </w:p>
    <w:p>
      <w:pPr>
        <w:spacing w:after="0" w:line="6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most advanced product candidates were in a Phase 1/2 trial when we ceased development activity and will require extensive clinical testing should we resume development. Human clinical trials are very expensive and difficult to design, initiate and implement, in part because they are subject to rigorous regulatory requirements. Failure can occur at any stage of a clinical trial, and we can encounter problems that cause us to delay the start of, abandon or repeat clinical trials. Some factors which may lead to a delay in the commencement or completion of our clinical trials, if resumed, include: requests for additional nonclinical data from regulators, unforeseen safety issues, dosing issues, lack of effectiveness during clinical trials, difficulty recruiting or monitoring patients, or difficulty manufacturing clinical products, among other factors.</w:t>
      </w:r>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they enter later stages of development, product candidates generally will become subject to more stringent regulatory requirements, including the FDA’s requirements for chemistry, manufacturing and controls for product candidates entering Phase 3 clinical trials. There is no guarantee the FDA will allow us or any potential licensee to commence Phase 3 clinical trials for product candidates studied in earlier clinical trials.</w:t>
      </w:r>
    </w:p>
    <w:p>
      <w:pPr>
        <w:spacing w:after="0" w:line="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the ability to further develop, or seek approval for, such product candidates may be materially impacted. As such, if we resume clinical development of our product candidates, we cannot predict with any certainty if or when we might submit a BLA for regulatory approval of our product candidates or whether such a BLA will be accepted. Because we do not anticipate generating significant revenues unless and until we submit one or more BLAs and thereafter obtain requisite FDA approvals,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7" w:name="page38"/>
    <w:bookmarkEnd w:id="37"/>
    <w:p>
      <w:pPr>
        <w:ind w:right="380"/>
        <w:spacing w:after="0" w:line="281" w:lineRule="auto"/>
        <w:rPr>
          <w:sz w:val="20"/>
          <w:szCs w:val="20"/>
          <w:color w:val="auto"/>
        </w:rPr>
      </w:pPr>
      <w:r>
        <w:rPr>
          <w:rFonts w:ascii="Times New Roman" w:cs="Times New Roman" w:eastAsia="Times New Roman" w:hAnsi="Times New Roman"/>
          <w:sz w:val="18"/>
          <w:szCs w:val="18"/>
          <w:color w:val="auto"/>
        </w:rPr>
        <w:t>timing of our BLA submissions and FDA determinations regarding approval thereof will directly affect if and when we are able to generate significant revenues.</w:t>
      </w:r>
    </w:p>
    <w:p>
      <w:pPr>
        <w:spacing w:after="0" w:line="55"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addition, we have halted development of our product candidates. There is an additive degree of risk to any development program that is paused because the time to restart the program and the associated expense may be longer and more costly than previously anticipated. It may also not be possible to restart the program altogether.</w:t>
      </w:r>
    </w:p>
    <w:p>
      <w:pPr>
        <w:spacing w:after="0" w:line="17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with many pharmaceutical and biological products, treatment with our product candidates, if resumed,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should we resume it. The FDA or foreign regulatory authorities could order us to cease further development of or deny approval of our product candidates for any or all targeted indications. If a serious adverse event were to occur in a trial, the FDA may place a hold on the clinical trial.</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resume and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Should we resume product development or begin commercialization, we expect to have to train medical personnel using our product candidates to understand their side effect profiles.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 candidates, a number of potentially significant negative consequences could result, including:</w:t>
      </w:r>
    </w:p>
    <w:p>
      <w:pPr>
        <w:spacing w:after="0" w:line="78"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16"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cellular therapy immuno-oncology product candidates relied on the availability of reagents, specialized equipment and other specialty materials and infrastructure, which may not be available to us on acceptable terms or at all if we resume our clinical trial. For some of these reagents, equipment and materials, we relied or may rely on sole source vendors or a limited number of vendors, which could significantly impair our ability to manufacture and supply our products, should we resume these activities.</w:t>
      </w:r>
    </w:p>
    <w:p>
      <w:pPr>
        <w:spacing w:after="0" w:line="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Manufacturing our product candidates required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have depended on a limited number of vendors for certain materials and equipment used in the manufacture of our product candidates, including DNA plasmids, which we used as the vector to insert our TCRs into human T cells. Should we resume product manufacturing, some or all of these suppliers may not have the capacity to support commercial products manufactured under current good manufacturing practices by biopharmaceutical firms or may otherwise be ill-equipped to support our needs, should we resume manufacturing. We also do not have supply contracts with some of these suppliers and may not be able to obtain supply contracts with them on acceptable terms or at all. Accordingly, we may experience significant delays in receiving key materials and equipment to support clinical or commercial manufacturing, should we resume those activities.</w:t>
      </w:r>
    </w:p>
    <w:p>
      <w:pPr>
        <w:spacing w:after="0" w:line="7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For some of these reagents, equipment, infrastructure, and materials, we may rely on sole source vendors or a limited number of vendors. An inability to source product from any of these suppliers, or source product on commercially reasonable terms, which could be due to, among other things, regulatory actions or requirements affecting the supplier, adverse financial or other strategic developments experienced by a supplier, labor disputes or shortages, unexpected demands, supply chain issues or quality issues, could materially and adversely affect our ability to satisfy demand for our product candidates, which could adversely and materially affect our ability to conduct clinical trials, should we resume them, which could significantly harm our business.</w:t>
      </w:r>
    </w:p>
    <w:p>
      <w:pPr>
        <w:spacing w:after="0" w:line="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 addition, some of the reagents and products used by us may be stored at a single vendor. The loss of materials located at a single vendor, or the failure of such a vendor to manufacture clinical product in accordance with our specifications, would impact our ability to conduct clinical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8" w:name="page39"/>
    <w:bookmarkEnd w:id="38"/>
    <w:p>
      <w:pPr>
        <w:ind w:right="360"/>
        <w:spacing w:after="0" w:line="281" w:lineRule="auto"/>
        <w:rPr>
          <w:sz w:val="20"/>
          <w:szCs w:val="20"/>
          <w:color w:val="auto"/>
        </w:rPr>
      </w:pPr>
      <w:r>
        <w:rPr>
          <w:rFonts w:ascii="Times New Roman" w:cs="Times New Roman" w:eastAsia="Times New Roman" w:hAnsi="Times New Roman"/>
          <w:sz w:val="18"/>
          <w:szCs w:val="18"/>
          <w:color w:val="auto"/>
        </w:rPr>
        <w:t>trials and continue the development of our products, should we resume it. Further, manufacturing replacement material may be expensive and require a significant amount of time, which may further impact our clinical programs.</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resume developing and scaling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clinical trials, should we resume the activities.</w:t>
      </w:r>
    </w:p>
    <w:p>
      <w:pPr>
        <w:spacing w:after="0" w:line="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In 2021, we began manufacturing our product candidates at our in-house current good manufacturing practices, or cGMP, manufacturing facility at our leased headquarters in Houston, Texas. In connection with our exploration of strategic alternatives, we have halted manufacturing of our product candidates and eliminated positions relating to the same. Accordingly, should we elect to in the future, our ability to resume manufacturing our product candidates will depend on our hiring and retaining personnel with the appropriate background and training to staff and operate the facility on a daily basis. Should we be unable to hire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Although we have developed our own manufacturing processes using an in-house team, there is timing risk associated with increased in-house product manufacture, including as a result of implementing the Plan.</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It is possible that stability or other issues relating to the manufacture of our product candidates could occur in the future. Before we halted clinical development, we had amended our clinical trial IND to use cryopreservation-based storage of clinical products. This process is new and should we resume clinical development and in-house manufacturing, we may experience manufacturing failures or difficulties producing sufficient quantities of our clinical products as a result of this change.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 candidates have been manufactured on a patient-by-patient basis. Delays in manufacturing could adversely impact the treatment of each patient and may discourage participation in clinical trials should clinical development be resumed. We have not manufactured our clinical trial product candidates on a large scale and may not be able to achieve large scale clinical trial or commercial manufacturing and processing on our own to satisfy expected clinical trial or commercial demands for any of our product candidates, should development resume in the future. The manufacturing processes employed by us may not result in product candidates that will be safe and effective. If we are unable to manufacture sufficient number of TCR-T cells for our product candidates, development efforts would be delayed, which would adversely affect our business and prospects.</w:t>
      </w:r>
    </w:p>
    <w:p>
      <w:pPr>
        <w:spacing w:after="0" w:line="7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Manufacturing operations are subject to review and oversight by the FDA. If we resume manufacturing operations, we will be subject to ongoing periodic unannounced inspection by the FDA, the Drug Enforcement Administration and corresponding state agencies to ensure strict compliance with cGMP and other government regulations. Our license to manufacture product candidates is subject to continued regulatory review.</w:t>
      </w:r>
    </w:p>
    <w:p>
      <w:pPr>
        <w:spacing w:after="0" w:line="6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6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 should we resume the trial.</w:t>
      </w:r>
    </w:p>
    <w:p>
      <w:pPr>
        <w:spacing w:after="0" w:line="173"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 should we resume these activities.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9" w:name="page40"/>
    <w:bookmarkEnd w:id="39"/>
    <w:p>
      <w:pPr>
        <w:ind w:right="60"/>
        <w:spacing w:after="0" w:line="260"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preclinical development work came from healthy donors. If our development work is continued, we may encounter unforeseen difficulties due to starting with material from donors who are not healthy, including challenges inherent in harvesting white blood cells from unhealthy patients.</w:t>
      </w:r>
    </w:p>
    <w:p>
      <w:pPr>
        <w:spacing w:after="0" w:line="7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Although we believe our manufacturing process is scalable for clinical development and commercialization, if any of our product candidates are approved or commercialized, we may encounter challenges in validating our process due to the heterogeneity of the product starting material. We cannot guarantee that any other issues relating to the heterogeneity of the starting material will not impact our ability to commercially manufacture our product candidates.</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gene transfer vectors from our </w:t>
      </w:r>
      <w:r>
        <w:rPr>
          <w:rFonts w:ascii="Times New Roman" w:cs="Times New Roman" w:eastAsia="Times New Roman" w:hAnsi="Times New Roman"/>
          <w:sz w:val="18"/>
          <w:szCs w:val="18"/>
          <w:b w:val="1"/>
          <w:bCs w:val="1"/>
          <w:color w:val="auto"/>
        </w:rPr>
        <w:t>Sleeping Beauty</w:t>
      </w:r>
      <w:r>
        <w:rPr>
          <w:rFonts w:ascii="Times New Roman" w:cs="Times New Roman" w:eastAsia="Times New Roman" w:hAnsi="Times New Roman"/>
          <w:sz w:val="18"/>
          <w:szCs w:val="18"/>
          <w:b w:val="1"/>
          <w:bCs w:val="1"/>
          <w:i w:val="1"/>
          <w:iCs w:val="1"/>
          <w:color w:val="auto"/>
        </w:rPr>
        <w:t xml:space="preserve"> system used to manufacture our product candidates may incorrectly modify the genetic material of a patient’s T cells, potentially triggering the development of a new cancer or other adverse events.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TCR-T cells were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was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used non-viral vectors to insert genetic information into T cells, which we believe have a lower risk of insertional oncogenesis as opposed to viral vectors. However, the risk of insertional oncogenesis remains a concern for gene therapy, and we cannot assure you that it will not occur in any clinical trials of our product candidates. There is also the potential risk of delayed adverse events following exposure to gene therapy products due to persistent biological activity of the genetic material or other components of the vectors used to carry the genetic material. Although our product candidates use non-viral vectors, the FDA has stated that lentiviral vectors possess characteristics that may pose high risks of delayed adverse events. If any such adverse events occur from our non-viral vector, preclinical studies or clinical trials could be halted or delayed, which would have a material adverse effect on our business and operations.</w:t>
      </w:r>
    </w:p>
    <w:p>
      <w:pPr>
        <w:spacing w:after="0" w:line="18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9"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5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0" w:name="page41"/>
    <w:bookmarkEnd w:id="40"/>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225"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product candidates, our inability to obtain the necessary U.S. or worldwide regulatory approvals to commercialize any product candidate would cause our business to suffer significantly.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we resume clinical development, 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studies and clinical trials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8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even if we should resume development in the future.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74" w:lineRule="exact"/>
        <w:rPr>
          <w:sz w:val="20"/>
          <w:szCs w:val="20"/>
          <w:color w:val="auto"/>
        </w:rPr>
      </w:pPr>
    </w:p>
    <w:p>
      <w:pPr>
        <w:jc w:val="both"/>
        <w:ind w:right="680"/>
        <w:spacing w:after="0" w:line="312" w:lineRule="auto"/>
        <w:rPr>
          <w:sz w:val="20"/>
          <w:szCs w:val="20"/>
          <w:color w:val="auto"/>
        </w:rPr>
      </w:pPr>
      <w:r>
        <w:rPr>
          <w:rFonts w:ascii="Times New Roman" w:cs="Times New Roman" w:eastAsia="Times New Roman" w:hAnsi="Times New Roman"/>
          <w:sz w:val="17"/>
          <w:szCs w:val="17"/>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product candidates, we anticipate allocating resources to the marketing, sales and distribution of our proposed products in North America and in certain other geographies;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 candidates under development, and such collaborator’s ability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1" w:name="page42"/>
    <w:bookmarkEnd w:id="41"/>
    <w:p>
      <w:pPr>
        <w:ind w:right="20"/>
        <w:spacing w:after="0" w:line="256" w:lineRule="auto"/>
        <w:rPr>
          <w:sz w:val="20"/>
          <w:szCs w:val="20"/>
          <w:color w:val="auto"/>
        </w:rPr>
      </w:pPr>
      <w:r>
        <w:rPr>
          <w:rFonts w:ascii="Times New Roman" w:cs="Times New Roman" w:eastAsia="Times New Roman" w:hAnsi="Times New Roman"/>
          <w:sz w:val="18"/>
          <w:szCs w:val="18"/>
          <w:color w:val="auto"/>
        </w:rPr>
        <w:t>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78"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1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74"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2" w:name="page43"/>
    <w:bookmarkEnd w:id="42"/>
    <w:p>
      <w:pPr>
        <w:ind w:right="60"/>
        <w:spacing w:after="0" w:line="258" w:lineRule="auto"/>
        <w:rPr>
          <w:sz w:val="20"/>
          <w:szCs w:val="20"/>
          <w:color w:val="auto"/>
        </w:rPr>
      </w:pPr>
      <w:r>
        <w:rPr>
          <w:rFonts w:ascii="Times New Roman" w:cs="Times New Roman" w:eastAsia="Times New Roman" w:hAnsi="Times New Roman"/>
          <w:sz w:val="18"/>
          <w:szCs w:val="18"/>
          <w:color w:val="auto"/>
        </w:rPr>
        <w:t>coverage determination process is often a time-consuming and costly process that would require us to provide scientific and clinical support for the use of our products to each payor separately, with no assurance that approval will be obtained. If we are unable to obtain coverage of and adequate payment levels for our product candidates, if approved, from third-party payors, physicians may limit how much or under what circumstances they will prescribe or administer our products and patients may decline to purchase them. This in turn could affect our ability to successfully commercialize our products and materially and adversely impact our business, financial condition, results of operations, cash flows and prospects.</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or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78"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Subsequently, for those product candidates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targeted,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results of operations, cash flows and prospects.</w:t>
      </w:r>
    </w:p>
    <w:p>
      <w:pPr>
        <w:spacing w:after="0" w:line="5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CMS, to test innovative payment and service delivery models to lower Medicare and Medicaid spending.</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3" w:name="page44"/>
    <w:bookmarkEnd w:id="43"/>
    <w:p>
      <w:pPr>
        <w:ind w:right="80"/>
        <w:spacing w:after="0" w:line="253" w:lineRule="auto"/>
        <w:rPr>
          <w:sz w:val="20"/>
          <w:szCs w:val="20"/>
          <w:color w:val="auto"/>
        </w:rPr>
      </w:pPr>
      <w:r>
        <w:rPr>
          <w:rFonts w:ascii="Times New Roman" w:cs="Times New Roman" w:eastAsia="Times New Roman" w:hAnsi="Times New Roman"/>
          <w:sz w:val="18"/>
          <w:szCs w:val="18"/>
          <w:color w:val="auto"/>
        </w:rPr>
        <w:t>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Act.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30, 2020, HHS finalized a regulation removing safe harbor protection for price reductions from pharmaceutical manufacturers to plan sponsors under Medicare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which have also been delayed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President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began to take effect progressively starting in fiscal year 2023, although they may be subject to legal challenges. It is currently unclear how the IRA will be effectuated but is likely to have a significant impact on the pharmaceutical industry.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78"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healthcare laws, including fraud and abuse and health information privacy and security laws, we could face substantial penalties and our business, financial condition, results of operations, cash flows and prospects could be materially and adversely affected.</w:t>
      </w:r>
    </w:p>
    <w:p>
      <w:pPr>
        <w:spacing w:after="0" w:line="27"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4" w:name="page45"/>
    <w:bookmarkEnd w:id="44"/>
    <w:p>
      <w:pPr>
        <w:ind w:left="760" w:right="14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4" w:lineRule="exact"/>
        <w:rPr>
          <w:rFonts w:ascii="Times New Roman" w:cs="Times New Roman" w:eastAsia="Times New Roman" w:hAnsi="Times New Roman"/>
          <w:sz w:val="18"/>
          <w:szCs w:val="18"/>
          <w:color w:val="auto"/>
        </w:rPr>
      </w:pPr>
    </w:p>
    <w:p>
      <w:pPr>
        <w:ind w:left="760" w:right="100" w:hanging="378"/>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civil and criminal statutes that prohibit, among other things, executing a scheme to defraud any healthcare benefit program or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74" w:lineRule="exact"/>
        <w:rPr>
          <w:rFonts w:ascii="Times New Roman" w:cs="Times New Roman" w:eastAsia="Times New Roman" w:hAnsi="Times New Roman"/>
          <w:sz w:val="18"/>
          <w:szCs w:val="18"/>
          <w:color w:val="auto"/>
        </w:rPr>
      </w:pPr>
    </w:p>
    <w:p>
      <w:pPr>
        <w:ind w:left="760" w:right="280" w:hanging="378"/>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prescribers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during the preceding calendar year; and</w:t>
      </w:r>
    </w:p>
    <w:p>
      <w:pPr>
        <w:spacing w:after="0" w:line="73"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any consulting agreements with physicians who may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5" w:name="page46"/>
    <w:bookmarkEnd w:id="45"/>
    <w:p>
      <w:pPr>
        <w:ind w:right="180"/>
        <w:spacing w:after="0" w:line="288" w:lineRule="auto"/>
        <w:rPr>
          <w:sz w:val="20"/>
          <w:szCs w:val="20"/>
          <w:color w:val="auto"/>
        </w:rPr>
      </w:pPr>
      <w:r>
        <w:rPr>
          <w:rFonts w:ascii="Times New Roman" w:cs="Times New Roman" w:eastAsia="Times New Roman" w:hAnsi="Times New Roman"/>
          <w:sz w:val="17"/>
          <w:szCs w:val="17"/>
          <w:color w:val="auto"/>
        </w:rPr>
        <w:t>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develop our product candidates may be materially impaired.</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 Our ability to consummate certain strategic transactions, including strategic partnerships or out-licensing opportunities, among others, may also be impaired if we are unable to adequately protect our intellectual property or if we infringe on the proprietary rights of others.</w:t>
      </w:r>
    </w:p>
    <w:p>
      <w:pPr>
        <w:spacing w:after="0" w:line="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To date, we have exclusive rights in the field of cancer treatment to certain U.S. and foreign intellectual property with respect to certain cell therapy and related technologies from MD Anderson as well as with respect to the Precigen technology, 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Precigen and us, and MD Anderson has the right to control the preparation, filing, and prosecution of such patent applications unless the parties agree that we or Precigen instead may control such activities. Although under the License Agreement MD Anderson has agreed to review and incorporate any reasonable comments that we or Precigen may have regarding licensed patents and patent applications, we cannot guarantee that our comments will be solicited or implemented.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implemented. On October 27, 2023, we provided the NCI the requisite notice of our intent to terminate the Patent License, effective 60 days from such notice. We no longer have any rights to the technology licensed pursuant to the Patent License upon the effectiveness of the termination notice. Under our A&amp;R License Agreement Precigen has the right, but not the obligation, to prepare, file, prosecute, and maintain the patents and patent applications licensed to us and shall bear all related costs incurred by it in regard to those actions. Precigen is required to consult with us and keep us reasonably informed of the status of the patents and patent applications licensed to us, and to confer with us prior to submitting any related filings and correspondence. Although under the A&amp;R License Agreement Precigen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or Precigen, as applicable, to keep us advised of prosecution, particularly in foreign jurisdictions where prosecution information may not be publicly available. We anticipate that we and Precigen will file additional patent applications both in the United States and in other jurisdictions. However, we cannot predict or guarantee for either our in-licensed patent portfolios or for Alaunos’ patent portfolio:</w:t>
      </w:r>
    </w:p>
    <w:p>
      <w:pPr>
        <w:spacing w:after="0" w:line="9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7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6" w:name="page47"/>
    <w:bookmarkEnd w:id="46"/>
    <w:p>
      <w:pPr>
        <w:ind w:right="240"/>
        <w:spacing w:after="0" w:line="255" w:lineRule="auto"/>
        <w:rPr>
          <w:sz w:val="20"/>
          <w:szCs w:val="20"/>
          <w:color w:val="auto"/>
        </w:rPr>
      </w:pPr>
      <w:r>
        <w:rPr>
          <w:rFonts w:ascii="Times New Roman" w:cs="Times New Roman" w:eastAsia="Times New Roman" w:hAnsi="Times New Roman"/>
          <w:sz w:val="18"/>
          <w:szCs w:val="18"/>
          <w:color w:val="auto"/>
        </w:rPr>
        <w:t>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or Precigen, to the extent not then terminated,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8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significantly harmed.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Should we resume development in the future, 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currently license from MD Anderson and Precigen is early-stage technology, and we were in the process of designing and developing products using this technology. Although we sought and, should we resume development activities,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6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5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8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the MD Anderson License and the License Agreement. Under these agreements, we are subject to a range of obligations pertaining to commercialization and development, sublicensing, royalty, patent prosecution and maintenance, and insurance.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8" w:name="page49"/>
    <w:bookmarkEnd w:id="48"/>
    <w:p>
      <w:pPr>
        <w:ind w:right="60"/>
        <w:spacing w:after="0" w:line="256"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business, financial condition, results of operations, cash flows and prospects.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7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cash flows and prospects.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7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9"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2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55"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pursue a strategic reprioritization;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 should we resume clinical development;</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clinical trials of our product candidates or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statements by third parties like trial participants and clinical investigators regarding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9" w:name="page50"/>
    <w:bookmarkEnd w:id="49"/>
    <w:p>
      <w:pPr>
        <w:ind w:left="760" w:right="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54" w:lineRule="exact"/>
        <w:rPr>
          <w:rFonts w:ascii="Times New Roman" w:cs="Times New Roman" w:eastAsia="Times New Roman" w:hAnsi="Times New Roman"/>
          <w:sz w:val="18"/>
          <w:szCs w:val="18"/>
          <w:color w:val="auto"/>
        </w:rPr>
      </w:pPr>
    </w:p>
    <w:p>
      <w:pPr>
        <w:ind w:left="760" w:right="180" w:hanging="378"/>
        <w:spacing w:after="0" w:line="26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removal from certain stock indices;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delisting from Nasdaq;</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global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which has resulted in decreased stock prices for many companies notwithstanding the lack of a fundamental change in their underlying business models or prospects. Public debt and equity markets, and in particular the Nasdaq Capital Market, have experienced extreme price and volume fluctuations that have affected and continue to affect the market prices of equity securities of many biopharmaceutical companies.</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Public statements made by third parties such as trial participants and clinical investigators about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significant harm to our business.</w:t>
      </w:r>
    </w:p>
    <w:p>
      <w:pPr>
        <w:spacing w:after="0" w:line="178"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5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 have the effect of delaying, deferring or preventing a change in control that our stockholders might consider to be in their best interests.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0" w:name="page51"/>
    <w:bookmarkEnd w:id="50"/>
    <w:p>
      <w:pPr>
        <w:spacing w:after="0" w:line="280" w:lineRule="auto"/>
        <w:rPr>
          <w:sz w:val="20"/>
          <w:szCs w:val="20"/>
          <w:color w:val="auto"/>
        </w:rPr>
      </w:pPr>
      <w:r>
        <w:rPr>
          <w:rFonts w:ascii="Times New Roman" w:cs="Times New Roman" w:eastAsia="Times New Roman" w:hAnsi="Times New Roman"/>
          <w:sz w:val="17"/>
          <w:szCs w:val="17"/>
          <w:color w:val="auto"/>
        </w:rPr>
        <w:t>We have begun exploring strategic alternatives, including, but not limited to, an acquisition, merger, reverse merger, sale of assets, strategic partnerships, capital raises or other transactions. If we are approached by a third-party in connection with such process, and our Board of Directors does not believe that a transaction with such party is in the best interest of our stockholders, we may rely on the provisions described above to prevent an acquisition by such party in order to maximize stockholder value. There is no guarantee that we will be able to find a transaction that delivers superior value to our stockholders.</w:t>
      </w:r>
    </w:p>
    <w:p>
      <w:pPr>
        <w:spacing w:after="0" w:line="16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spacing w:after="0" w:line="8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spacing w:after="0" w:line="6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5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7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business, financial condition, results of operations, cash flows or prospects do not meet their expectations, our stock price and trading volume could significantly decline.</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business, financial condition, results of operations, cash flows or prospects do not meet their expectations,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1" w:name="page52"/>
    <w:bookmarkEnd w:id="51"/>
    <w:p>
      <w:pPr>
        <w:ind w:right="280"/>
        <w:spacing w:after="0" w:line="281" w:lineRule="auto"/>
        <w:rPr>
          <w:sz w:val="20"/>
          <w:szCs w:val="20"/>
          <w:color w:val="auto"/>
        </w:rPr>
      </w:pPr>
      <w:r>
        <w:rPr>
          <w:rFonts w:ascii="Times New Roman" w:cs="Times New Roman" w:eastAsia="Times New Roman" w:hAnsi="Times New Roman"/>
          <w:sz w:val="18"/>
          <w:szCs w:val="18"/>
          <w:color w:val="auto"/>
        </w:rPr>
        <w:t>stock price could significantly decline. If our common stock is delisted by Nasdaq, the impact of analysts ceasing to cover our securities may negatively impact the price of our common stock more dramatically.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negatively affected as a result of the actions of activist stockholders.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stockholders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If our Board of Directors elects to pursue a strategic alternative requiring a stockholder vote, activists may pursue a campaign against the transaction and as a result may make consummating the transaction more difficult, or impossible, despite the Board of Directors' conclusions that such transaction is in the best interest of our stockholders.</w:t>
      </w:r>
    </w:p>
    <w:p>
      <w:pPr>
        <w:spacing w:after="0" w:line="17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materially and negatively impact the price of our common stock.</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December 31, 2023, we had warrants for 1,452,394 shares of our common stock outstanding at a weighted average exercise price of $86.33 per share. We are able to grant stock options, restricted stock, restricted stock units, stock appreciation rights, bonus stocks, and performance awards under our 2020 Equity Incentive Plan. As of December 31, 2023, under the 2020 Equity Incentive Plan and the 2012 Equity Incentive Plan, 465,895 shares were issuable upon the exercise of outstanding options at a weighted average exercise price of $25.31 per share.</w:t>
      </w:r>
    </w:p>
    <w:p>
      <w:pPr>
        <w:spacing w:after="0" w:line="17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significantly harm the market price of our common stock.</w:t>
      </w:r>
    </w:p>
    <w:p>
      <w:pPr>
        <w:spacing w:after="0" w:line="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2023, our executive officers, directors and holders of five percent or more of our outstanding common stock beneficially owned, in the aggregate, 14.0%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5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business, financial condition, results of operations, cash flows and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our public float exceeds $250 million as of the last business day of our most recently completed second quarter if our annual revenues are $100 million or more as of our most recently completed fiscal year, or until our public float exceeds $700 million as of the last business day of our most recently completed second quarter if our annual revenues are less than $100 million as of our most recently completed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1B. Unresolved Staff Comments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have implemented a cybersecurity program to support both the effectiveness of our systems and our preparedness for information security risks. This program includes a number of safeguards, such as: password protection; multi-factor authentication; monitoring and alerting systems for internal and external threats; and regular evaluations of our cybersecurity program.</w:t>
      </w:r>
    </w:p>
    <w:p>
      <w:pPr>
        <w:spacing w:after="0" w:line="69" w:lineRule="exact"/>
        <w:rPr>
          <w:sz w:val="20"/>
          <w:szCs w:val="20"/>
          <w:color w:val="auto"/>
        </w:rPr>
      </w:pPr>
    </w:p>
    <w:p>
      <w:pPr>
        <w:jc w:val="both"/>
        <w:ind w:right="700"/>
        <w:spacing w:after="0" w:line="265" w:lineRule="auto"/>
        <w:rPr>
          <w:sz w:val="20"/>
          <w:szCs w:val="20"/>
          <w:color w:val="auto"/>
        </w:rPr>
      </w:pPr>
      <w:r>
        <w:rPr>
          <w:rFonts w:ascii="Times New Roman" w:cs="Times New Roman" w:eastAsia="Times New Roman" w:hAnsi="Times New Roman"/>
          <w:sz w:val="18"/>
          <w:szCs w:val="18"/>
          <w:color w:val="auto"/>
        </w:rPr>
        <w:t>We use a risk-based approach with respect to our use and oversight of third-party service providers, tailoring processes according to the nature and sensitivity of the data accessed, processed, or stored by such third-party service provider. We also seek to include appropriate security terms in our contracts, where applicable as part of our oversight of third-party providers.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Assessing, Identifying and Managing Material Risks from Cybersecurity Threats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an incident response program. In the event of a cybersecurity incident,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maintain an Incident Response Plan, which includes an Incident Response Process in the event of a significant cybersecurity incident. In the event of a significant cybersecurity incident, our head of administration will chair an incident response team to handle the incident. Such incident response team will include members of IT, finance (if applicable), legal, communications, human resources and any affected unit or department. IT, along with a designated forensic team, will use the Incident Response Process to guide the response.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Oversight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controls and processes employed to assess, identify and manage material risks from cybersecurity threats are implemented and overseen by head of administration and our managed service provider. Our head of administration has over four years of experience addressing cybersecurity risks. Our head of administration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Our head of administration oversees the Incident Response Plan and briefs our board of directors on cybersecurity matters, including the nature and design of our cybersecurity program, and threats, events, and program enhancements.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In its oversight role, our Board of Directors is expected to specifically consider risks, including with respect to privacy, information technology and cybersecurity and threats to technology infrastructure.</w:t>
      </w:r>
    </w:p>
    <w:p>
      <w:pPr>
        <w:spacing w:after="0" w:line="5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On a regular basis, the head of administration reports to our Board of Directors on cybersecurity matters, including key risks, the potential impact of those exposures on our business, financial condition, results of operations, cash flows and prospects, and the programs and steps implemented by our management team to monitor and mitigate risks.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approach to risk management. Given our nature and size, we do not have a dedicated enterprise risk function, but our management team regularly considers and evaluates risks. As part of that risk management process, our management team identifies, assesses and evaluates risks impacting our operations, including those risks related to cybersecurity, and raise them for internal discussion, and where it is determined to be appropriate, issues are also raised to our Board of Directors for consideration.</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aware of any previous cybersecurity incidents that have materially affected our business, financial condition, results of operations, cash flows and prospects or that are reasonably likely to have such a material effect. While we have implemented a cybersecurity program, the techniques used to infiltrate information technology systems continue to evolve. Accordingly, we may not be able to timely detect threats or anticipate and implement adequate security measures. For additional information regarding risks relating to privacy and cybersecurity, see "Item IA—Risk Factors—Risks Related to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Properties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corporate office is located at 2617 Bissonnet Street, Suite 225, Houston, Texas 77005. We believe that our existing facilities are adequate to meet our current needs.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Legal Proceedings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3" w:name="page54"/>
    <w:bookmarkEnd w:id="53"/>
    <w:p>
      <w:pPr>
        <w:ind w:right="22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The results of litigation and claims cannot be predicted with certainty, and unfavorable resolutions are possible and could materially affect our business, financial condition, results of operations, cash flows and prospects. In addition, regardless of the outcome, litigation could have a material and adverse impact on us because of defense costs, diversion of management resources and other factors.</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do not have any pending litigation that, separately or in the aggregate, would, in the opinion of management, be reasonably likely to have a material adverse effect on our business, financial condition, results of operations, cash flows or prospects.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KBI Biopharma Litigation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17, 2023, KBI Biopharma, Inc., or KBI, filed a complaint against us in the District Court of Harris County, Texas, 165th Judicial District, asserting breach of an Amended and Restated Master Services Agreement between us and KBI relating to the development of an autologous gene modified T-cell therapy product, or the KBI Agreement. KBI was primarily seeking unspecified monetary damages in excess of $3.2 million. On May 1, 2023, we filed an answer generally denying all of KBI’s allegations and asserting affirmative and other defenses as well as counterclaims for breach of the KBI Agreement and conversion. On October 20, 2023, we entered into an agreement with KBI to settle all claims asserted by KBI against us and our counterclaims against KBI at issue in the litigation for $1.0 million. All claims have been dismissed in their entirety with prejudice.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9" w:right="399" w:bottom="1440" w:gutter="0" w:footer="0" w:header="0"/>
        </w:sectPr>
      </w:pPr>
    </w:p>
    <w:bookmarkStart w:id="54" w:name="page55"/>
    <w:bookmarkEnd w:id="5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Market for Registrant’s Common Equity, Related Stockholders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“TCRT.”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March 18, 2024, we had approximately 167 holders of record of our common stock, one of which was Cede &amp; Co., a nominee for Depository Trust Company, or DTC. Shares of common stock that are held by financial institutions as nominees for beneficial owners or in “street name” are deposited into participant accounts at DTC and are considered to be held of record by Cede &amp; Co. as one stockholder.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declared or paid a cash dividend on our common stock and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or issue any equity securities during the three months ended December 31, 2023 that were not registered under the Securities 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our common stock by the Company during the fiscal quarter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[Reserved]</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67"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In addition to historical financial information, the following discussion contains forward-looking statements that reflect our plans, estimates and beliefs. Our actual results, levels of activity, performance or achievements could differ materially from those contained in or implied by any forward-looking statements. Factors that could cause or contribute to these differences include those under “Risk Factors” included in Part I, Item 1A and under “Special Note Regarding Forward-Looking Statements” or in other parts of this Annual Report on Form 10-K. All share amounts presented in this Item 7 give effect to the 1-for-15 reverse stock split of our outstanding shares of common stock that occurred on January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have operated as a clinical-stage oncology-focused cell therapy company developing adoptive TCR-T cell therapy, designed to treat multiple solid tumor types in large cancer patient populations with unmet clinical needs. We were working to leverage our cancer hotspot mutation TCR library and our proprietary, non-viral Sleeping Beauty gene transfer platform to design and manufacture patient-specific cell therapies that target neoantigens arising from shared tumor-specific 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the MD Anderson Cancer Center, or MD Anderson, we were enrolling and treating patients for a Phase 1/2 clinical trial which was evaluating 12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79"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year ended December 31, 2023, we had a net loss of $35.1 million, and as of December 31, 2023, we have incurred approximately $915.8 million of accumulated deficit since our inception in 2003. We expect to continue to incur significant operating expenditures and net losses for the foreseeable future.</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14, 2023, we announced a strategic reprioritization of our business and wind down of our TCR-T Library Phase 1/2 Trial. In connection with the reprioritization, we have reduced our workforce during the third and fourth quarters of 2023,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Fitzgerald &amp; Co., or Cantor, to act as strategic advisor for this process. In addition, on August 14, 2023, we announced that we had provided the requisite notice to the National Cancer Institute, or the NCI, to terminate the Cooperative Research and Development Agreement, dated January 9, 2017, by and among us, the NCI and Intrexon Corporation, or Intrexon, as amended (such agreement referred to herein as the CRADA), pursuant to its terms, effective October 13, 2023. In addition, on October 27, 2023, we provided notice of termination of the Patent License with the NCI, effective December 26,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TCR-T Library Phase 1/2 Trial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 patients were treated and evaluated in our TCR-T Library Phase 1/2 Trial. Patients with pancreatic (3), colorectal (4) and non-small cell lung cancer</w:t>
      </w:r>
    </w:p>
    <w:p>
      <w:pPr>
        <w:spacing w:after="0" w:line="27" w:lineRule="exact"/>
        <w:rPr>
          <w:sz w:val="20"/>
          <w:szCs w:val="20"/>
          <w:color w:val="auto"/>
        </w:rPr>
      </w:pPr>
    </w:p>
    <w:p>
      <w:pPr>
        <w:ind w:firstLine="8"/>
        <w:spacing w:after="0" w:line="253"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treated, with certain pancreatic and colorectal patients also having lung metastases. Overall, the trial showed our T-cells were generally well-tolerated in all evaluable participants with no dose-limiting toxicities (DLTs) and no immune effector cell-associated neurotoxicity syndrome (ICANS) were observed. All cytokine release syndrome (CRS) events were within grades 1-3 and were self-limiting or resolved with standard clinical management and, in some cases, a single dose of tocilizumab.</w:t>
      </w:r>
    </w:p>
    <w:p>
      <w:pPr>
        <w:spacing w:after="0" w:line="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One patient with non-small cell lung cancer (NSCLC) achieved an objective partial response with six months progression-free survival. Six other patients achieved a best overall response of stable disease. The total overall response rate was 13% and disease control rate was 87% in evaluable patients with advanced, metastatic, refractory solid tumors (see Figure A). Disease control was measured by objective responses and stable disease. Increased secretion of interferon-gamma relative to baseline was detected in all patients' serum post-cell transfer suggesting recognition of the tumor by the infused TCR-T cells. Persistence of TCR-T cells in peripheral blood was detected in all evaluable patients at their last follow-up, including up to six months in one patient. Infiltration of TCR-T cells into the tumor was also detected in three samples where a fresh biopsy was collected suggesting homing to the tumor microenvironment. All patients have progressed or withdrawn from the trial and long-term follow-up is ongoing for a subset of patients with no further intervention per the treatment protocol. This trial established proof-of-concept that Sleeping Beauty TCR-T cells can result in objective clinical responses and recognize established tumors in vivo.</w:t>
      </w:r>
    </w:p>
    <w:p>
      <w:pPr>
        <w:spacing w:after="0" w:line="7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Despite the encouraging TCR-T Library Phase 1/2 Trial data, based on the substantial cost to continue development and the current financing environment, we announced in August 2023 that we would not pursue any further development of our clinical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hunTR® Platform</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have discovered multiple proprietary TCRs targeting driver mutations through our hunTR TCR discovery platform. In addition to TCRs that recognize KRAS and TP53 mutations similar to those licensed from the NCI, we identified additional TCRs that bind to other driver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56" w:name="page57"/>
    <w:bookmarkEnd w:id="56"/>
    <w:p>
      <w:pPr>
        <w:ind w:right="140"/>
        <w:spacing w:after="0" w:line="281" w:lineRule="auto"/>
        <w:rPr>
          <w:sz w:val="20"/>
          <w:szCs w:val="20"/>
          <w:color w:val="auto"/>
        </w:rPr>
      </w:pPr>
      <w:r>
        <w:rPr>
          <w:rFonts w:ascii="Times New Roman" w:cs="Times New Roman" w:eastAsia="Times New Roman" w:hAnsi="Times New Roman"/>
          <w:sz w:val="18"/>
          <w:szCs w:val="18"/>
          <w:color w:val="auto"/>
        </w:rPr>
        <w:t>mutations and TCRs that are restricted to additional HLAs. We believe that the hunTR library has the potential to allow for the treatment of a large patient population.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continue to explore strategic alternatives, which may include but are not limited to, an acquisition, merger, reverse merger, sale of assets, strategic partnerships, capital raises or other transactions. In connection with the strategic reprioritization, we reduced our workforce by approximately 95% to date in order to streamline the organization and to maximize our cash runway.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 Determination</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previously disclosed on January 4, 2023, we were notified by the Listing Qualifications Department, or the Staff, of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were provided a period of 180 calendar days, or until July 3, 2023, or the Compliance Date, to regain compliance with the Bid Price Requirement. On June 22, 2023, we applied to transfer our listing from the Nasdaq Global Select Market to the Nasdaq Capital Market, or the Transfer. On July 5, 2023, Nasdaq notified us that the Transfer was approved, and that, in connection with the Transfer, we were eligible for an additional 180 calendar day period, or until January 2, 2024, or the Extended Compliance Date, to regain compliance with the Minimum Bid Price Rule. On November 8, 2023, we received a Staff Delisting Determination letter, or the Delisting Determination, from the Staff notifying us that, because the closing bid price for our common stock was below $0.10 per share for 10 consecutive trading days during the Extended Compliance Period, the Staff has determined to suspend trading of our common stock on Nasdaq pursuant to Nasdaq Listing Rule 5810(c)(3)(A)(iii), effective November 17, 2023, and file a Form 25-NSE with the SEC to remove our common stock from listing and registration under the Securities Exchange Act of 1934, as amended, unless we timely request an appeal of the Delisting Determination to a Nasdaq Hearings Panel, or the Panel. We timely requested a hearing before the Panel to appeal the Delisting Determination and were granted a hearing before the Panel on January 25, 2024. This timely request for a hearing stayed the suspension or delisting of our common stock so our common stock continued to trade on the Nasdaq Capital Market under the symbol “TCRT” while the appeal process was pending. By letter dated February 16, 2024, we were notified by The Nasdaq Stock Market LLC that we regained compliance with the minimum $1.00 bid price requirement, and otherwise satisfied all applicable criteria for continued listing on The Nasdaq Capital Market. As such, the listing matter was closed. Pursuant to Nasdaq Listing Rule 5815(d)(4)(B), we will be subject to a mandatory panel monitor for the one-year period through February 16,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have historically consisted primarily of salaries and related expenses for personnel, costs of contract manufacturing services, costs of facilities, reagents, and equipment, fees paid to professional service providers in conjunction with our clinical trials, fees paid to contract research organizations, or CROs, in conjunction with clinical trials, fees paid to CROs in conjunction with costs of materials used in research and development, consulting, license and milestone payments, sponsored research fees paid to third parties and impairment charges to prepaid expenses and other current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 or cost of product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consists of severance provided to terminated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Other income (expense) consists primarily of interest expense associated with our amended Loan and Security Agreement (as defined below), interest income on our cash balances and sublease income.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December 31, 2023 and 2022</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70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7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lease modification and termination</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34,272</w:t>
            </w:r>
          </w:p>
        </w:tc>
        <w:tc>
          <w:tcPr>
            <w:tcW w:w="30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38,027</w:t>
            </w:r>
          </w:p>
        </w:tc>
        <w:tc>
          <w:tcPr>
            <w:tcW w:w="100" w:type="dxa"/>
            <w:vAlign w:val="bottom"/>
            <w:tcBorders>
              <w:top w:val="single" w:sz="8" w:color="CFF0FC"/>
            </w:tcBorders>
          </w:tcPr>
          <w:p>
            <w:pPr>
              <w:spacing w:after="0"/>
              <w:rPr>
                <w:sz w:val="20"/>
                <w:szCs w:val="20"/>
                <w:color w:val="auto"/>
              </w:rPr>
            </w:pPr>
          </w:p>
        </w:tc>
      </w:tr>
      <w:tr>
        <w:trPr>
          <w:trHeight w:val="236"/>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(34,267 )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(35,105 )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(1,921 )</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(3,154 )</w:t>
            </w:r>
          </w:p>
        </w:tc>
      </w:tr>
      <w:tr>
        <w:trPr>
          <w:trHeight w:val="243"/>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3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(873 )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(2,625 )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(35,140 )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(37,730 )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-2040255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-2040255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-1106805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-1106805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-156845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during the years ended December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2,922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(2,917 )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Collaboration revenue during the year ended December 31, 2023 was $5 thousand compared to $2.9 million during the year ended December 31, 2022. The decrease was primarily due to $2.9 million milestone revenue earned under the Solasia License and Collaboration Agreement for the first commercial sale of darinaparsin, which did not recur in the year ended 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years ended December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(8,739 )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2023 decreased by $8.7 million when compared to the year ended December 31, 2022 primarily due to lower program expenses of $1.1 million as a result of the wind down of our clinical activities, a $3.0 million decrease in employee-related expenses due to our reduced headcount, an accrual adjustment related to our de-prioritized clinical programs of $1.0 million, a $0.9 million decrease in facilities costs following the termination of our leases, a one-time $2.5 million milestone payment to MD Anderson in 2022 under the terms of our patent and technology license agreement that did not recur in 2023 and a $0.2 million decrease in consulting costs due to the reduced scope of activities.</w:t>
      </w:r>
    </w:p>
    <w:p>
      <w:pPr>
        <w:spacing w:after="0" w:line="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Our clinical stage projects included our TCR-T Library Phase 1/2 Trial evaluating TCRs from our library for the investigational treatment of non-small cell lung, colorectal, endometrial, pancreatic, ovarian and bile duct cancers, which we are currently in the process of winding down.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years ended December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(923 )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decreased by $0.9 million as compared to the year ended December 31, 2022, primarily due to a $1.1 million decrease in employee-related expenses as a result of our reduced headcount and a $0.4</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8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million decrease in insurance fees, partially offset by a $0.6 million increase in consulting and professional services expenses related to higher legal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lease modification and termination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lease modification and termination during the years ended December 31, 2023 and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lease modification and termination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(298 )  $</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(133 )  $</w:t>
            </w:r>
          </w:p>
        </w:tc>
        <w:tc>
          <w:tcPr>
            <w:tcW w:w="142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(165 )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Gain on lease modification and termination during the year ended December 31, 2023 was $0.3 million as compared to $0.1 million during the year ended December 31, 2022. As a result of real estate lease terminations during 2023, the associated lease liabilities and right-of-use assets were remeasured based on the revised lease payments, resulting in a gain of $0.3 million. As a result of a real estate lease modification during 2022, the associated lease liability and right-of-use asset were remeasured based on the revised lease payments, resulting in a gain of $0.1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during the years ended December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1,269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Restructuring costs during the year ended December 31, 2023 were $1.3 million as compared to $0 during the year ended December 31, 2022, due to severance expenses for terminated employees related to our strategic reprioritization announced in August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during the years ended December 31, 2023 and 2022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4,803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Property and equipment and right-of-use asset impairments of $4.8 million were recorded during the year ended December 31, 2023, compared to $0 during the year ended December 31, 2022, following the announcement of our strategic reprioritization in August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during the years ended December 31, 2023 and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(873 )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(2,625 )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Total other expense, net for the year ended December 31, 2023 decreased by $1.8 million as compared to the year ended December 31, 2022 due to lower interest expense associated with our amended Loan and Security Agreement, as defined below, of $1.2 million and increased interest income of $0.5 million recognized during the year ended December 31, 2023 as a result of higher interest rates earned on our cash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7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December 31, 2023, we have received an aggregate of $729.2 million from issuances of equity.</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14, 2023, we announced a strategic reprioritization of our business and wind down of our TCR-T Library Phase 1/2 Trial. In connection with the reprioritization, we have reduced our workforce,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to act as strategic advisor for this process.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follow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Given our current development plans and cash management efforts, we anticipate that our cash resources will be sufficient to fund operations into the third quarter of 2024.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On November 29, 2022, we entered into an underwriting agreement, or the Underwriting Agreement, with Cantor Fitzgerald &amp; Co., or the Underwriter, as the sole underwriter, relating to the issuance and sale in an underwritten offering, or the Offering, of 1,615,247 shares of our common stock, or the Firm Shares, to the Underwriter at a price of $9.2865 per share.</w:t>
      </w:r>
    </w:p>
    <w:p>
      <w:pPr>
        <w:spacing w:after="0" w:line="6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net proceeds from the Offering were $14.7 million (before accounting for the partial exercise of the Underwriter's option as described below) after deducting underwriting discounts and commissions and offering expenses payable by us.</w:t>
      </w:r>
    </w:p>
    <w:p>
      <w:pPr>
        <w:spacing w:after="0" w:line="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we granted the Underwriter an option, exercisable for 30 days, to purchase up to an additional 242,287 shares of common stock, or, together with the Firm Shares, the Shares, at the same price per share as the Firm Shares. On January 5, 2023, the Underwriter partially exercised its option to purchase 14,420 shares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12, 2022, we entered into an Equity Distribution Agreement, or the Equity Distribution Agreement, with Piper Sandler &amp; Co., or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years ended December 31, 2023 and 2022, there were no sales of our common stock under the Equity Distribution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or the Loan and Security Agreement, with Silicon Valley Bank, or SVB. The Loan and Security Agreement provided for an initial term loan of $25.0 million funded at the closing, or the Term A Tranche, with an additional tranche of $25.0 million available if certain funding and clinical milestones were met by August 31, 2022. The SVB Facility and related obligations under the Loan and Security Agreement were secured by substantially all of our properties, rights and assets, except for our intellectual property (which was subject to a negative pledge under the Loan and Security Agreement). In addition, the Loan and Security Agreement contained customary representations, warranties, events of default and covenants.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December 28, 2021, we entered into the First Amendment to the Loan and Security Agreement. Under the terms of the First Amendment, the additional tranche, which remained unfunded, was eliminated, leaving only the Term A Tranche, which is referred to as the SVB Facility. The SVB Facility bore interest at a floating rate per annum on the outstanding loans, payable monthly, at the greater of (a) 7.75% and (b) the current published U.S. prime rate, plus a margin of 4.5%. Commencing on September 1, 2022, aggregate outstanding borrowings became repayable in twelve consecutive, equal monthly installments of principal plus accrued interest.</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were due and payable on August 1, 2023. We also owed SVB $1.4 million as a final payment, or the Final Payment.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t>Effective March 30, 2023, we entered into a Third Amendment to the Loan and Security Agreement, or the Third Amendment. Under the terms of the Third Amendment, we were no longer required to maintain all of our operating accounts, depository accounts and excess cash with SVB, and were instead only required to maintain a single operating or depository account at SVB. The Third Amendment also modified the cash collateralization requirement, such that we were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74"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On May 1, 2023, we paid SVB all amounts outstanding under the amended Loan and Security Agreement, comprised of the entire outstanding principal amount under the SVB Facility, all accrued and unpaid interest and the Final Payment. The payment was subject to a prepayment premium of 2.00%.</w:t>
      </w:r>
    </w:p>
    <w:p>
      <w:pPr>
        <w:spacing w:after="0" w:line="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in August 2021, we issued to SVB warrants to purchase (i) up to 28,856 shares of our common stock, in the aggregate, and (ii) up to an additional 28,856 shares of Common Stock, in the aggregate, in the event we achieved certain clinical milestones, in each case at an exercise price per share of $33.30. In connection with our entry into the First Amendment in December 2021, we amended and restated the warrants issued to SVB. As amended and restated, the warrants are for up to 43,307 shares of our common stock, in the aggregate, with an exercise price of $17.40 per share, or the SVB Warrants. The SVB Warrants expire on August 6, 2031.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increase (decrease) in cash and cash equivalents for the years ended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(30,142 )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(29,232 )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(18,138 )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(46,934 )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(23,058 )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w:t>
      </w:r>
    </w:p>
    <w:p>
      <w:pPr>
        <w:spacing w:after="0" w:line="55" w:lineRule="exact"/>
        <w:rPr>
          <w:sz w:val="20"/>
          <w:szCs w:val="20"/>
          <w:color w:val="auto"/>
        </w:rPr>
      </w:pPr>
    </w:p>
    <w:p>
      <w:pPr>
        <w:ind w:left="1260" w:right="40" w:hanging="503"/>
        <w:spacing w:after="0" w:line="281"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amortization, impairment charges, stock-based compensation and reduction in right-of-use assets; and</w:t>
      </w:r>
    </w:p>
    <w:p>
      <w:pPr>
        <w:spacing w:after="0" w:line="54" w:lineRule="exact"/>
        <w:rPr>
          <w:rFonts w:ascii="Times New Roman" w:cs="Times New Roman" w:eastAsia="Times New Roman" w:hAnsi="Times New Roman"/>
          <w:sz w:val="18"/>
          <w:szCs w:val="18"/>
          <w:color w:val="auto"/>
        </w:rPr>
      </w:pPr>
    </w:p>
    <w:p>
      <w:pPr>
        <w:ind w:left="1260" w:right="500" w:hanging="503"/>
        <w:spacing w:after="0" w:line="281"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$30.1 million, as compared to $29.2 million for the year ended December 31, 2022. The net cash used in operating activities for the year ended December 31, 2023 was primarily a result of our net loss of $35.1 million, adjusted for $11.3 million of non-cash items such as depreciation, property and equipment and right-of-use assets impairment, stock-based compensation and a decrease in the carrying amount of right-of-use assets, an increase in prepaid expenses of $1.4 million and decreases in accounts payable of $0.8 million, accrued expenses of $4.0 million and lease liabilities of $0.6 million, offset by a decrease in non-current assets of $0.5 million. The net cash used in operating activities for the year ended December 31, 2022 was primarily a result of our net loss of $37.7 million, adjusted for $7.6 million of non-cash items such as depreciation, stock-based compensation and a decrease in the carrying amount of right-of-use assets, a decrease in accounts receivable of $1.1 million and a decrease in prepaid expenses and other assets of $1.0 million, partially offset by a decrease in accrued expenses of $0.7 million and a decrease in lease liabilities of $0.5 million.</w:t>
      </w:r>
    </w:p>
    <w:p>
      <w:pPr>
        <w:spacing w:after="0" w:line="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was $1.3 million for the year ended December 31, 2023 as compared to net cash used in investing activities of $0.2 million for the year ended December 31, 2022. The increase in net cash provided by investing activities for the year ended December 31, 2023 compared to the year ended December 31, 2022 was primarily due to proceeds from the disposal of property and equipment of $1.5 million, partially offset by purchases of property and equipment of $0.2 million.</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$18.1 million for the year ended December 31, 2023 compared to $6.4 million of net cash provided by financing activities for the year ended December 31, 2022. The increase in net cash used in financing activities for the year ended December 31, 2023 compared to the year ended December 31, 2022 was primarily due to the repayment of long-term debt of $18.1 million and debt extinguishment costs of $0.1 million, partially offset by proceeds from the issuance of common stock of $0.1 million. The $6.4 million provided by financing activities during the year ended December 31, 2022 related primarily to $14.7 million in net proceeds from the issuance of common stock (before accounting for the partial exercise of the Underwriter's option), offset by $8.3 million of repayments of long-term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1" w:name="page62"/>
    <w:bookmarkEnd w:id="61"/>
    <w:p>
      <w:pPr>
        <w:spacing w:after="0" w:line="265" w:lineRule="auto"/>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December 31, 2023, our accumulated deficit was approximately $915.8 million. Our actual cash requirements may vary materially from those planned because of a number of factors, including changes in the focus, direction and pace of our development programs, including those resulting from the recently announced exploration of strategic alternatives and related workforce reduction.</w:t>
      </w:r>
    </w:p>
    <w:p>
      <w:pPr>
        <w:spacing w:after="0" w:line="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$6.1 million of cash and cash equivalents. In light of our announced strategic reprioritization and concurrent exploration of strategic alternatives, including our decision to halt work on our TCR-T Library Phase 1/2 Trial, our development programs and reducing our workforce, we anticipate our cash resources will be sufficient to fund our operations into the third quarter of 2024. In order to continue our operations beyond our forecasted runway, including, if necessary, to continue to explore strategic alternatives,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we may be unable to persist as a going concern for sufficient time to identify or execute on any strategic alternatives.</w:t>
      </w:r>
    </w:p>
    <w:p>
      <w:pPr>
        <w:spacing w:after="0" w:line="7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Working capital as of December 31, 2023 was $6.3 million, consisting of $8.3 million in current assets and $2.0 million in current liabilities. Working capital as of December 31, 2022 was $15.7 million, consisting of $39.9 million in current assets and $24.2 million in current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Texas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On December 15, 2020, we entered into another lease in Houston with MD Anderson which provided us additional office and laboratory space through April 2028.</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April 2022, we modified our real estate lease agreement executed on December 15, 2020 with MD Anderson. The modification reduced our leased space from 18,111 square feet to 3,228 square feet. As a result, the associated lease liability and right-of-use asset were remeasured to $0.4 million based on revised lease payments.</w:t>
      </w:r>
    </w:p>
    <w:p>
      <w:pPr>
        <w:spacing w:after="0" w:line="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April 2023, we executed an agreement to terminate the lease for our remaining office space in Boston, Massachusetts. Under the terms of the lease termination, we were required to pay a $0.2 million termination fee. Additionally, we have been released from a sub-sublease of certain of our office space in Boston signed in June 2022 as it has been assigned to the Boston office space's landlord in conjunction with the agreement to terminate the lease for the remaining office space.</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August 2023, in accordance with the lease agreement executed on December 15, 2020, we provided notification to the landlord to terminate office space of 3,228 square feet in Houston, Texas. As a result, the associated lease liability and right-of-use asset were remeasured to $19 thousand, reflecting the revised lease payments and term end date of November 2023.</w:t>
      </w:r>
    </w:p>
    <w:p>
      <w:pPr>
        <w:spacing w:after="0" w:line="69"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On November 1, 2023, we and MD Anderson, as landlord, agreed to mutually terminate the leases dated October 15, 2019 and April 7, 2020, which represent office space totaling 14,037 square feet, effective November 15, 2023. As a result, we agreed to make a final payment of $0.1 million to the landlord.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terminated all operating leases and therefore have no remaining lease commitments, other than a short-term 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28, 2019, we entered into the Patent License with the NCI. The terms of the Patent License required us to pay the NCI minimum annual royalties in the amount of $0.3 million, which would be reduced to $0.1 million once the aggregate minimum annual royalties paid by us equaled $1.5 million. For the year ended December 31, 2023, we recognized $0.3 million in royalty payments under the Patent License, and we recognized $0.3 million in royalty payments for the year ended December 31, 2022. As of December 31, 2023, we paid a total of $0.8 million in minimum annual royalty payments under the Patent License.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Patent License, we were also required to make performance-based payments contingent upon the successful completion of clinical and regulatory benchmarks relating to the licensed products. Of such payments, the aggregate potential benchmark payments were $4.3 million, of which aggregate payments of $3.0 million were due only after marketing approval in the United States or in Europe, Japan, Australia, China or India. The first benchmark payment of $0.1 million was due upon the initiation of our TCR-T Library Phase 1/2 Trial. In addition, we were required to pay the NCI one-time benchmark payments following aggregate net sales of licensed products at certain aggregate net sales ranging from $250.0 million to $1.0 billion. The aggregate potential amount of these benchmark payments was $12.0 million. No payments were made during the year ended December 31, 2023, compared to payments of $0.1 million during the year ended December 31, 2022. On October 27, 2023, we provided notice of termination of the Patent License with the NCI, effective December 26, 2023.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2" w:name="page63"/>
    <w:bookmarkEnd w:id="62"/>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On October 5, 2018, we entered into the License Agreement with PGEN. Under the License Agreement, we are obligated to pay PGEN an annual licensing fee of $0.1 million expected to be paid through the term of the agreement and we have also agreed to reimburse certain historical costs of PGEN up to $1.0 million.</w:t>
      </w:r>
    </w:p>
    <w:p>
      <w:pPr>
        <w:spacing w:after="0" w:line="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terms of the License Agreement, we were responsible for contingent milestone payments totaling up to an additional $52.5 million for each exclusively licensed program upon the initiation of later stage clinical trials and upon the approval of exclusively licensed products in various jurisdictions. In addition, we were also required to pay Precigen tiered royalties ranging from low-single digits to high-single digits on the net sales derived from the sale of any approved IL-12 products and CAR products as well as royalties ranging from low-single digits to mid-single digits on the net sales derived from the sales of any approved TCR products, up to a maximum royalty amount of $100.0 million in the aggregate. We were also required to pay Precigen 20% of any sublicensing income received by us relating to the licensed products. We were also responsible for all development costs associated with each of the licensed products. Precigen was required to pay us royalties ranging from low-single digits to mid-single digits on the net sales derived from the sale of Precigen's CAR products, up to a maximum royalty amount of $100.0 million. Pursuant to the A&amp;R License Agreement, all royalty and milestone obligations between us and Precigen have been removed, and annual license payments due to Precigen have been reduced from $100 thousand to $75 thousand. For the years ended December 31, 2023 and 2022, we made licensing fee payments in accordance with the terms of the agreement. We have discovered multiple proprietary TCRs targeting driver mutations through its hunTR TCR discovery platform, including many of the same KRAS and TP53 mutations as were licensed from the NCI.</w:t>
      </w:r>
    </w:p>
    <w:p>
      <w:pPr>
        <w:spacing w:after="0" w:line="7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June 2022, Solasia Pharma K. K., or Solasia, announced that darinaparsin had been approved from relapsed or refractory Peripheral T-Cell Lymphoma by the Ministry of Health, Labor and Welfare in Japan. During the year ended December 31, 2023, we recorded collaboration revenue of $5 thousand for royalties on sales under the License and Collaboration Agreement, dated March 7, 2011, as amended on July 31, 2014 between Solasia and us, compared to $2.9 million in milestone revenue related to Solasia's achievement of certain sales-based milestones in Japan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financial statements, which have been prepared in accordance with accounting principles generally accepted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We evaluate our estimates and judgments on an ongoing basis. Actual results may differ materially from these estimates under different assumptions or conditions.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more significant estimates and judgments used in the preparation of our financial statements:</w:t>
      </w:r>
    </w:p>
    <w:p>
      <w:pPr>
        <w:spacing w:after="0" w:line="117" w:lineRule="exact"/>
        <w:rPr>
          <w:sz w:val="20"/>
          <w:szCs w:val="20"/>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and other research and development expenses;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of stock-based compensation;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 Clinical Trial Expenses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personnel and third-party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a few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79" w:lineRule="exact"/>
        <w:rPr>
          <w:sz w:val="20"/>
          <w:szCs w:val="20"/>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completion of clinical trial milestones. In accruing service fees, we estimate the time period over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3" w:name="page64"/>
    <w:bookmarkEnd w:id="63"/>
    <w:p>
      <w:pPr>
        <w:ind w:right="20"/>
        <w:spacing w:after="0" w:line="258" w:lineRule="auto"/>
        <w:rPr>
          <w:sz w:val="20"/>
          <w:szCs w:val="20"/>
          <w:color w:val="auto"/>
        </w:rPr>
      </w:pPr>
      <w:r>
        <w:rPr>
          <w:rFonts w:ascii="Times New Roman" w:cs="Times New Roman" w:eastAsia="Times New Roman" w:hAnsi="Times New Roman"/>
          <w:sz w:val="18"/>
          <w:szCs w:val="18"/>
          <w:color w:val="auto"/>
        </w:rPr>
        <w:t>which services will be performed, enrollment of patients, number of sites activated and the level of effort to be expended in each period. Although we do not expect our estimates to be materially different from amounts actually incurred, our understanding of the status and timing of services performed relative to the actual status and timing of services performed may vary and may result in changes to our previous estimates, which we considered reasonably reliable at the time. During the year ended December 31, 2023, we recorded an accrual adjustment related to our de-prioritized clinical programs of $1.0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Collaboration Agreements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We primarily generate revenue through collaboration arrangements with strategic partners for the development and commercialization of product candidates. Commencing January 1, 2018, we recognized revenue in accordance with Financial Accounting Standards Board (“FASB”)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 The core principle of ASC 606 is that an entity should recognize revenue to depict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and/or services to customers in an amount that reflects the consideration to which the entity expects to be entitled in exchange for those goods and/or services. To determine the appropriate amount of revenue to be recognized for arrangements that we determine are within the scope of ASC 606, we perform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w:t>
      </w:r>
    </w:p>
    <w:p>
      <w:pPr>
        <w:spacing w:after="0" w:line="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recognize collaboration revenue under certain of our license or collaboration agreements that are within the scope of ASC 606. Our contracts with customers typically include promises related to licenses to intellectual property, research and development services and options to purchase additional goods and/or services.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Contracts that include an option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terms of our arrangements with customers typically include the payment of one or more of the following: (i) non-refundable, up-front payment, (ii) development, regulatory and commercial milestone payments, (iii) future options and (iv) royalties on net sales of licensed products.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We measure the transaction price based on the amount of consideration to which we expect to be entitled in exchange for transferring the promised goods and/or services to the customer. We utilize the most likely amount method to estimate the amount of variable consideration, to predict the amount of consideration to which we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we evaluate whether the associated event is considered probable of achievement and estimate the amount to be included in the transaction price using the most likely amount method. Milestone payments that are not within the control of us or the licensee,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our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we recognize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allocate the transaction price to each performance obligation identified in the contract on a relative standalone selling price basis.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We develop assumptions that require the use of judgment to determine the standalone selling price for each performance obligation identified in each contract. The key assumptions utilized in determining the standalone selling price for each performance obligation may include forecasted revenue, development timelines, estimated research and development costs, discount rates, likelihood of exercise and probabilities of technical and regulatory success.</w:t>
      </w:r>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we recognize revenue by measuring the progress toward complete satisfaction of the performance obligation using a single method of measuring progress which depicts the performance in transferring control of the associated goods and/or services to the customer.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4" w:name="page65"/>
    <w:bookmarkEnd w:id="64"/>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use input methods to measure the progress toward the complete satisfaction of performance obligations satisfied over time. We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assumptions are estimated as follows:</w:t>
      </w:r>
    </w:p>
    <w:p>
      <w:pPr>
        <w:spacing w:after="0" w:line="117" w:lineRule="exact"/>
        <w:rPr>
          <w:sz w:val="20"/>
          <w:szCs w:val="20"/>
          <w:color w:val="auto"/>
        </w:rPr>
      </w:pPr>
    </w:p>
    <w:p>
      <w:pPr>
        <w:ind w:left="1260" w:hanging="503"/>
        <w:spacing w:after="0"/>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market value of our common stock is considered the quoted market price on Nasdaq;</w:t>
      </w:r>
    </w:p>
    <w:p>
      <w:pPr>
        <w:spacing w:after="0" w:line="116" w:lineRule="exact"/>
        <w:rPr>
          <w:rFonts w:ascii="Times New Roman" w:cs="Times New Roman" w:eastAsia="Times New Roman" w:hAnsi="Times New Roman"/>
          <w:sz w:val="16"/>
          <w:szCs w:val="16"/>
          <w:color w:val="auto"/>
        </w:rPr>
      </w:pPr>
    </w:p>
    <w:p>
      <w:pPr>
        <w:ind w:left="1260" w:hanging="503"/>
        <w:spacing w:after="0" w:line="281"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expected volatility is based on the historical stock volatility of our common stock over a sufficient period of time equal to the expected term of the option;</w:t>
      </w:r>
    </w:p>
    <w:p>
      <w:pPr>
        <w:spacing w:after="0" w:line="54"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expected term represents the period that our stock options are expected to be outstanding;</w:t>
      </w:r>
    </w:p>
    <w:p>
      <w:pPr>
        <w:spacing w:after="0" w:line="116" w:lineRule="exact"/>
        <w:rPr>
          <w:rFonts w:ascii="Times New Roman" w:cs="Times New Roman" w:eastAsia="Times New Roman" w:hAnsi="Times New Roman"/>
          <w:sz w:val="16"/>
          <w:szCs w:val="16"/>
          <w:color w:val="auto"/>
        </w:rPr>
      </w:pPr>
    </w:p>
    <w:p>
      <w:pPr>
        <w:ind w:left="1260" w:right="280" w:hanging="503"/>
        <w:spacing w:after="0" w:line="281"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risk-free interest rate is based on the yields of U.S. Treasury securities with maturities commensurate with the expected term of the award; and</w:t>
      </w:r>
    </w:p>
    <w:p>
      <w:pPr>
        <w:spacing w:after="0" w:line="54"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not paid dividends on our common stock nor do we expect to pay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prior to the consideration for the need for a valuation allowance, are included on our balance sheet.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business, financial condition, results of operations, cash flows and prospects.</w:t>
      </w:r>
    </w:p>
    <w:p>
      <w:pPr>
        <w:spacing w:after="0" w:line="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an annual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color w:val="auto"/>
        </w:rPr>
        <w:t xml:space="preserve">For a discussion of new accounting standards, please read Note 3 to the accompanying financial statements,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this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the information under this Item 7A.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Item 8. Financial Statements and Supplementary Data</w:t>
      </w:r>
    </w:p>
    <w:p>
      <w:pPr>
        <w:spacing w:after="0" w:line="121"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The information required by this Item 8 is contained on pages F-1 through F-25 of this Annual Report and is incorporated herein by reference. All share numbers and share prices presented in this Item 8 have been adjusted to reflect the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reverse stock split of the Company’s common stock effected on January 31, 2024.</w:t>
      </w:r>
    </w:p>
    <w:p>
      <w:pPr>
        <w:spacing w:after="0" w:line="194" w:lineRule="exact"/>
        <w:rPr>
          <w:sz w:val="20"/>
          <w:szCs w:val="20"/>
          <w:color w:val="auto"/>
        </w:rPr>
      </w:pPr>
    </w:p>
    <w:p>
      <w:pPr>
        <w:ind w:right="386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and our principal accounting officer, we have evaluated the effectiveness of our disclosure controls and procedures, as such term is defined under Rule 13a-15(e) or 15d-15(e) promulgated under the Exchange Act, as of December 31, 2023. Based on that evaluation, our principal executive officer and principal financial officer has concluded that as of December 31, 2023, our disclosure controls and procedures were effective.</w:t>
      </w:r>
    </w:p>
    <w:p>
      <w:pPr>
        <w:spacing w:after="0" w:line="7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We note that the design of any system of controls is based in part upon certain assumptions about the likelihood of future events, and there can be no assurance that any design will succeed in achieving the stated goals under all potential future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officer and principal financial officer and our principal accounting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4" w:lineRule="exact"/>
        <w:rPr>
          <w:sz w:val="20"/>
          <w:szCs w:val="20"/>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6" w:lineRule="exact"/>
        <w:rPr>
          <w:rFonts w:ascii="Times New Roman" w:cs="Times New Roman" w:eastAsia="Times New Roman" w:hAnsi="Times New Roman"/>
          <w:sz w:val="18"/>
          <w:szCs w:val="18"/>
          <w:color w:val="auto"/>
        </w:rPr>
      </w:pPr>
    </w:p>
    <w:p>
      <w:pPr>
        <w:ind w:left="1260" w:right="40" w:hanging="503"/>
        <w:spacing w:after="0" w:line="265"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9" w:lineRule="exact"/>
        <w:rPr>
          <w:rFonts w:ascii="Times New Roman" w:cs="Times New Roman" w:eastAsia="Times New Roman" w:hAnsi="Times New Roman"/>
          <w:sz w:val="18"/>
          <w:szCs w:val="18"/>
          <w:color w:val="auto"/>
        </w:rPr>
      </w:pPr>
    </w:p>
    <w:p>
      <w:pPr>
        <w:ind w:left="1260" w:right="260" w:hanging="503"/>
        <w:spacing w:after="0" w:line="281"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officer and principal financial officer and our principal accounting officer, we assessed our internal control over financial reporting as of December 31, 2023, based on criteria for effective internal control over financial reporting established in Internal Control - Integrated Framework (2013), issued by the Committee of Sponsoring Organizations of the Treadway Commission (COSO). Our management’s assessment of the effectiveness of our internal control over financial reporting included testing and evaluating the design and operating effectiveness of our internal controls. In management’s opinion, we have maintained effective internal control over financial reporting as of December 31, 2023, based on the criteria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Internal Controls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and our principal accounting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8" w:right="359" w:bottom="1440" w:gutter="0" w:footer="0" w:header="0"/>
        </w:sectPr>
      </w:pPr>
    </w:p>
    <w:bookmarkStart w:id="66" w:name="page67"/>
    <w:bookmarkEnd w:id="66"/>
    <w:p>
      <w:pPr>
        <w:ind w:right="60"/>
        <w:spacing w:after="0" w:line="281" w:lineRule="auto"/>
        <w:rPr>
          <w:sz w:val="20"/>
          <w:szCs w:val="20"/>
          <w:color w:val="auto"/>
        </w:rPr>
      </w:pPr>
      <w:r>
        <w:rPr>
          <w:rFonts w:ascii="Times New Roman" w:cs="Times New Roman" w:eastAsia="Times New Roman" w:hAnsi="Times New Roman"/>
          <w:sz w:val="18"/>
          <w:szCs w:val="18"/>
          <w:color w:val="auto"/>
        </w:rPr>
        <w:t>of compliance with the policies or procedures may deteriorate. Because of the inherent limitations in a cost-effective control system, misstatements due to error or fraud may occur and not be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Rule 15d-15(f) of the Exchange Act) that occurred during the fiscal quarter ended December 31, 2023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Plans</w:t>
      </w:r>
    </w:p>
    <w:p>
      <w:pPr>
        <w:spacing w:after="0" w:line="11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Section 16 officer of the Company adopted or terminated a "Rule 10b5-1 trading arrangement" or "non-Rule 10b5-1 trading arrangement" as each term is defined in Item 408(a) of Regulation S-K.</w:t>
      </w:r>
    </w:p>
    <w:p>
      <w:pPr>
        <w:spacing w:after="0" w:line="159" w:lineRule="exact"/>
        <w:rPr>
          <w:sz w:val="20"/>
          <w:szCs w:val="20"/>
          <w:color w:val="auto"/>
        </w:rPr>
      </w:pPr>
    </w:p>
    <w:p>
      <w:pPr>
        <w:ind w:right="534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79" w:right="439" w:bottom="1440" w:gutter="0" w:footer="0" w:header="0"/>
        </w:sectPr>
      </w:pPr>
    </w:p>
    <w:bookmarkStart w:id="67" w:name="page68"/>
    <w:bookmarkEnd w:id="67"/>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Directors, Executive Officers and Corporate Governance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Executive Compensation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Certain Relationships and Related Transactions, and Director Independence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14. Principal Accountant Fees and Services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16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967" w:right="8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2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60" w:type="dxa"/>
            <w:vAlign w:val="bottom"/>
          </w:tcPr>
          <w:p>
            <w:pPr>
              <w:spacing w:after="0"/>
              <w:rPr>
                <w:sz w:val="20"/>
                <w:szCs w:val="20"/>
                <w:color w:val="auto"/>
              </w:rPr>
            </w:pPr>
          </w:p>
        </w:tc>
      </w:tr>
      <w:tr>
        <w:trPr>
          <w:trHeight w:val="431"/>
        </w:trPr>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Exhibits, Financial Statement Schedules</w:t>
            </w:r>
          </w:p>
        </w:tc>
        <w:tc>
          <w:tcPr>
            <w:tcW w:w="106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10040" w:type="dxa"/>
            <w:vAlign w:val="bottom"/>
            <w:gridSpan w:val="9"/>
          </w:tcPr>
          <w:p>
            <w:pPr>
              <w:ind w:left="500"/>
              <w:spacing w:after="0"/>
              <w:rPr>
                <w:sz w:val="20"/>
                <w:szCs w:val="20"/>
                <w:color w:val="auto"/>
              </w:rPr>
            </w:pPr>
            <w:r>
              <w:rPr>
                <w:rFonts w:ascii="Times New Roman" w:cs="Times New Roman" w:eastAsia="Times New Roman" w:hAnsi="Times New Roman"/>
                <w:sz w:val="18"/>
                <w:szCs w:val="18"/>
                <w:i w:val="1"/>
                <w:iCs w:val="1"/>
                <w:color w:val="auto"/>
              </w:rPr>
              <w:t>(1) Financial Statements:</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04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The Financial Statements required to be filed by Item 8 of this Annual Report, and filed in this Item 15, are as follows:</w:t>
            </w:r>
          </w:p>
        </w:tc>
        <w:tc>
          <w:tcPr>
            <w:tcW w:w="106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20" w:type="dxa"/>
            <w:vAlign w:val="bottom"/>
            <w:gridSpan w:val="5"/>
          </w:tcPr>
          <w:p>
            <w:pPr>
              <w:spacing w:after="0"/>
              <w:rPr>
                <w:sz w:val="16"/>
                <w:szCs w:val="16"/>
                <w:color w:val="auto"/>
              </w:rPr>
            </w:pPr>
          </w:p>
        </w:tc>
        <w:tc>
          <w:tcPr>
            <w:tcW w:w="1060" w:type="dxa"/>
            <w:vAlign w:val="bottom"/>
          </w:tcPr>
          <w:p>
            <w:pPr>
              <w:ind w:left="780"/>
              <w:spacing w:after="0" w:line="189" w:lineRule="exact"/>
              <w:rPr>
                <w:sz w:val="20"/>
                <w:szCs w:val="20"/>
                <w:color w:val="auto"/>
              </w:rPr>
            </w:pPr>
            <w:r>
              <w:rPr>
                <w:rFonts w:ascii="Times New Roman" w:cs="Times New Roman" w:eastAsia="Times New Roman" w:hAnsi="Times New Roman"/>
                <w:sz w:val="18"/>
                <w:szCs w:val="18"/>
                <w:color w:val="auto"/>
              </w:rPr>
              <w:t>F-1</w:t>
            </w:r>
          </w:p>
        </w:tc>
      </w:tr>
      <w:tr>
        <w:trPr>
          <w:trHeight w:val="223"/>
        </w:trPr>
        <w:tc>
          <w:tcPr>
            <w:tcW w:w="2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Balance Sheets as of December 31, 2023 and 2022</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Operations for the Years Ended December 31, 2023 and 2022</w:t>
            </w:r>
          </w:p>
        </w:tc>
        <w:tc>
          <w:tcPr>
            <w:tcW w:w="20" w:type="dxa"/>
            <w:vAlign w:val="bottom"/>
            <w:tcBorders>
              <w:bottom w:val="single" w:sz="8" w:color="0000EE"/>
            </w:tcBorders>
          </w:tcPr>
          <w:p>
            <w:pPr>
              <w:spacing w:after="0"/>
              <w:rPr>
                <w:sz w:val="19"/>
                <w:szCs w:val="19"/>
                <w:color w:val="auto"/>
              </w:rPr>
            </w:pPr>
          </w:p>
        </w:tc>
        <w:tc>
          <w:tcPr>
            <w:tcW w:w="4560" w:type="dxa"/>
            <w:vAlign w:val="bottom"/>
            <w:gridSpan w:val="3"/>
          </w:tcPr>
          <w:p>
            <w:pPr>
              <w:spacing w:after="0"/>
              <w:rPr>
                <w:sz w:val="19"/>
                <w:szCs w:val="19"/>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F-4</w:t>
            </w:r>
          </w:p>
        </w:tc>
      </w:tr>
      <w:tr>
        <w:trPr>
          <w:trHeight w:val="223"/>
        </w:trPr>
        <w:tc>
          <w:tcPr>
            <w:tcW w:w="20" w:type="dxa"/>
            <w:vAlign w:val="bottom"/>
          </w:tcPr>
          <w:p>
            <w:pPr>
              <w:spacing w:after="0"/>
              <w:rPr>
                <w:sz w:val="19"/>
                <w:szCs w:val="19"/>
                <w:color w:val="auto"/>
              </w:rPr>
            </w:pPr>
          </w:p>
        </w:tc>
        <w:tc>
          <w:tcPr>
            <w:tcW w:w="7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for the Years Ended December 31, 2023 and 2022</w:t>
            </w:r>
          </w:p>
        </w:tc>
        <w:tc>
          <w:tcPr>
            <w:tcW w:w="300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F-5</w:t>
            </w:r>
          </w:p>
        </w:tc>
      </w:tr>
      <w:tr>
        <w:trPr>
          <w:trHeight w:val="223"/>
        </w:trPr>
        <w:tc>
          <w:tcPr>
            <w:tcW w:w="2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2023 and 2022</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F-6</w:t>
            </w:r>
          </w:p>
        </w:tc>
      </w:tr>
      <w:tr>
        <w:trPr>
          <w:trHeight w:val="223"/>
        </w:trPr>
        <w:tc>
          <w:tcPr>
            <w:tcW w:w="20" w:type="dxa"/>
            <w:vAlign w:val="bottom"/>
          </w:tcPr>
          <w:p>
            <w:pPr>
              <w:spacing w:after="0"/>
              <w:rPr>
                <w:sz w:val="19"/>
                <w:szCs w:val="19"/>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 w:type="dxa"/>
            <w:vAlign w:val="bottom"/>
            <w:tcBorders>
              <w:top w:val="single" w:sz="8" w:color="0000FF"/>
              <w:bottom w:val="single" w:sz="8" w:color="0000EE"/>
            </w:tcBorders>
          </w:tcPr>
          <w:p>
            <w:pPr>
              <w:spacing w:after="0"/>
              <w:rPr>
                <w:sz w:val="19"/>
                <w:szCs w:val="19"/>
                <w:color w:val="auto"/>
              </w:rPr>
            </w:pPr>
          </w:p>
        </w:tc>
        <w:tc>
          <w:tcPr>
            <w:tcW w:w="3320" w:type="dxa"/>
            <w:vAlign w:val="bottom"/>
            <w:tcBorders>
              <w:top w:val="single" w:sz="8" w:color="0000FF"/>
            </w:tcBorders>
            <w:gridSpan w:val="5"/>
          </w:tcPr>
          <w:p>
            <w:pPr>
              <w:spacing w:after="0"/>
              <w:rPr>
                <w:sz w:val="19"/>
                <w:szCs w:val="19"/>
                <w:color w:val="auto"/>
              </w:rPr>
            </w:pPr>
          </w:p>
        </w:tc>
        <w:tc>
          <w:tcPr>
            <w:tcW w:w="4540" w:type="dxa"/>
            <w:vAlign w:val="bottom"/>
            <w:gridSpan w:val="2"/>
          </w:tcPr>
          <w:p>
            <w:pPr>
              <w:spacing w:after="0"/>
              <w:rPr>
                <w:sz w:val="19"/>
                <w:szCs w:val="19"/>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F-7</w:t>
            </w: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05" w:lineRule="exact"/>
        <w:rPr>
          <w:sz w:val="20"/>
          <w:szCs w:val="20"/>
          <w:color w:val="auto"/>
        </w:rPr>
      </w:pPr>
    </w:p>
    <w:p>
      <w:pPr>
        <w:ind w:left="520" w:right="360"/>
        <w:spacing w:after="0" w:line="281"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financial statements and notes thereto.</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Exhibit No.</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20" w:type="dxa"/>
            <w:vAlign w:val="bottom"/>
            <w:gridSpan w:val="19"/>
          </w:tcPr>
          <w:p>
            <w:pPr>
              <w:ind w:left="620"/>
              <w:spacing w:after="0"/>
              <w:rPr>
                <w:sz w:val="20"/>
                <w:szCs w:val="20"/>
                <w:color w:val="auto"/>
              </w:rPr>
            </w:pPr>
            <w:r>
              <w:rPr>
                <w:rFonts w:ascii="Times New Roman" w:cs="Times New Roman" w:eastAsia="Times New Roman" w:hAnsi="Times New Roman"/>
                <w:sz w:val="13"/>
                <w:szCs w:val="13"/>
                <w:color w:val="auto"/>
              </w:rPr>
              <w:t>Description of Document</w:t>
            </w:r>
          </w:p>
        </w:tc>
      </w:tr>
      <w:tr>
        <w:trPr>
          <w:trHeight w:val="31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Agreement and Plan of Merger among the Registrant (formerly “EasyWeb, Inc.”), ZIO Acquisition Corp. and ZIOPHARM, Inc., dated</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August 3, 2005 (incorporated by reference to Exhibit 10.1 to the Registrant’s Form 8-K, SEC File No. 000-32353, filed August 9, 2005).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Certificate of Incorporation, and all amendments thereto (incorporated by reference to Exhibit 3.1 to the</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Registrant’s Annual Report on Form 10-Q, SEC File No. 001-33038, filed August 14, 2023).</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Certificate of Merger dated September 13, 2005, relating to the merger of ZIO Acquisition Corp. with and into ZIOPHARM, Inc.</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(incorporated by reference to Exhibit 3.1 to the Registrant’s Form 8-K, SEC File No. 000-32353, filed September 19, 2005).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w:t>
            </w: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Certificate of Ownership of the Registrant (formerly “EasyWeb, Inc.”) dated as of September 14, 2005, relating the merger of ZIOPHARM,</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Inc. with and into the Registrant, and changing the Registrant’s corporate name from EasyWeb, Inc. to ZIOPHARM Oncology, Inc.</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(incorporated by reference to Exhibit 3.2 to the Registrant’s Form 8-K, SEC File No. 000-32353, filed September 19, 2005).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Certificate of Designation, Preferences and Rights of Series 1 Preferred Stock, as filed with the Delaware Secretary</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of State on July 1, 2016 (incorporated by reference to Exhibit 3.1 to the Registrant’s Current Report on Form 8-K/A, SEC File No. 001-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33038, filed July 1, 2016).</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Bylaws of the Registrant, dated as of September 21, 2020 (incorporated by reference to Exhibit 3.1 to the</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Registrant’s Current Report on Form 8-K, SEC File No. 001-33038, filed September 22,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Specimen common stock certificate (incorporated by reference to Exhibit 4.1 to the Registrant’s Registration Statement on Form SB-2,</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SEC File No. 333-129020, filed October 14, 2005).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Option for the Purchase of Shares of common stock dated August 30, 2004 and issued to The University of Texas M. D. Anderson</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Cancer Center (incorporated by reference to Exhibit 4.6 to the Registrant’s Annual Report on Form 10-KSB, SEC File No. 000-32353,</w:t>
              </w:r>
            </w:hyperlink>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filed March 20, 2006).</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Schedule identifying Material Terms of Options for the Purchase of Shares of Common Stock (incorporated by reference to Exhibit 4.7 to</w:t>
              </w:r>
            </w:hyperlink>
          </w:p>
        </w:tc>
      </w:tr>
      <w:tr>
        <w:trPr>
          <w:trHeight w:val="20"/>
        </w:trPr>
        <w:tc>
          <w:tcPr>
            <w:tcW w:w="1180" w:type="dxa"/>
            <w:vAlign w:val="bottom"/>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Registrant’s Annual Report on Form 10-KSB, SEC File No. 000-32353, filed March 20, 2006).</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Warrant to Purchase Common Stock (incorporated by reference to Exhibit 4.1 to the Registrant’s Current Report on Form 8-K</w:t>
              </w:r>
            </w:hyperlink>
          </w:p>
        </w:tc>
      </w:tr>
      <w:tr>
        <w:trPr>
          <w:trHeight w:val="20"/>
        </w:trPr>
        <w:tc>
          <w:tcPr>
            <w:tcW w:w="1180" w:type="dxa"/>
            <w:vAlign w:val="bottom"/>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SEC File No. 001-33038 filed November 13, 2018).</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EE"/>
            </w:tcBorders>
            <w:gridSpan w:val="4"/>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Warrant to Purchase Common Stock issued to The University of Texas M. D. Anderson Cancer Center (incorporated by reference to</w:t>
              </w:r>
            </w:hyperlink>
          </w:p>
        </w:tc>
      </w:tr>
      <w:tr>
        <w:trPr>
          <w:trHeight w:val="20"/>
        </w:trPr>
        <w:tc>
          <w:tcPr>
            <w:tcW w:w="1180" w:type="dxa"/>
            <w:vAlign w:val="bottom"/>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Exhibit 4.7 to the Registrant’s Annual Report on Form 10-K, SEC File No. 001-33038, filed March 2,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Warrant to Purchase Shares of Common Stock issued to SVB and certain of its Affiliates, dated December 28, 2021 (incorporated</w:t>
              </w:r>
            </w:hyperlink>
          </w:p>
        </w:tc>
      </w:tr>
      <w:tr>
        <w:trPr>
          <w:trHeight w:val="20"/>
        </w:trPr>
        <w:tc>
          <w:tcPr>
            <w:tcW w:w="1180" w:type="dxa"/>
            <w:vAlign w:val="bottom"/>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by reference to Exhibit 4.6 to the Registrant's Annual Report on Form 10-K, SEC File No. 001-33038, filed 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Description of Securities Registered Pursuant to Section 12 of the Securities Exchange Act of 1934, as amended (incorporated by reference</w:t>
              </w:r>
            </w:hyperlink>
          </w:p>
        </w:tc>
      </w:tr>
      <w:tr>
        <w:trPr>
          <w:trHeight w:val="20"/>
        </w:trPr>
        <w:tc>
          <w:tcPr>
            <w:tcW w:w="1180" w:type="dxa"/>
            <w:vAlign w:val="bottom"/>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to Exhibit 4.7 to the Registrant's Annual Report on Form 10-K, SEC File No. 001-33038, filed 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ZIOPHARM Oncology, Inc. 2012 Equity Incentive Plan, as amended (incorporated by reference to Exhibit 10.1 to the Registrant’s Current</w:t>
              </w:r>
            </w:hyperlink>
          </w:p>
        </w:tc>
      </w:tr>
      <w:tr>
        <w:trPr>
          <w:trHeight w:val="20"/>
        </w:trPr>
        <w:tc>
          <w:tcPr>
            <w:tcW w:w="1180" w:type="dxa"/>
            <w:vAlign w:val="bottom"/>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4780" w:type="dxa"/>
            <w:vAlign w:val="bottom"/>
            <w:gridSpan w:val="1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Report on Form 8-K SEC File No. 001-33038 filed September 24, 2018).</w:t>
              </w:r>
            </w:hyperlink>
          </w:p>
        </w:tc>
      </w:tr>
      <w:tr>
        <w:trPr>
          <w:trHeight w:val="506"/>
        </w:trPr>
        <w:tc>
          <w:tcPr>
            <w:tcW w:w="1180" w:type="dxa"/>
            <w:vAlign w:val="bottom"/>
          </w:tcPr>
          <w:p>
            <w:pPr>
              <w:spacing w:after="0"/>
              <w:rPr>
                <w:sz w:val="24"/>
                <w:szCs w:val="24"/>
                <w:color w:val="auto"/>
              </w:rPr>
            </w:pPr>
          </w:p>
        </w:tc>
        <w:tc>
          <w:tcPr>
            <w:tcW w:w="5240" w:type="dxa"/>
            <w:vAlign w:val="bottom"/>
            <w:tcBorders>
              <w:top w:val="single" w:sz="8" w:color="0000FF"/>
            </w:tcBorders>
            <w:gridSpan w:val="5"/>
          </w:tcPr>
          <w:p>
            <w:pPr>
              <w:ind w:left="4360"/>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2"/>
        </w:trPr>
        <w:tc>
          <w:tcPr>
            <w:tcW w:w="1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Restricted Stock Agreement Granted Under the ZIOPHARM Oncology, Inc. 2012 Equity Incentive Plan (incorporated by</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10.2 to the Registrant’s Current Report on Form 8-K SEC File No. 001-33038 filed June 26, 2012).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10.5+</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Option Agreement Granted Under the ZIOPHARM Oncology, Inc. 2012 Equity Incentive Plan (incorporated by reference to</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10.3 to the Registrant’s Current Report on Form 8-K SEC File No. 001-33038 filed June 26, 2012).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Inducement Award Grant Notice and Inducement Award Grant Agreement (incorporated by reference to Exhibit 99.3 to the</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Registrant’s Registration Statement on Form S-8, SEC File No. 333-238090, filed May 8,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ZIOPHARM Oncology, Inc. 2020 Equity Incentive Plan (incorporated by reference to Exhibit 10.1 to the Registrant’s Current Report on</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8-K SEC File No. 001-33038 filed July 1,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Restricted Stock Agreement Granted Under the ZIOPHARM Oncology, Inc. 2020 Equity Incentive Plan (incorporated by</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reference to Exhibit 10.9 to the Registrant’s Annual Report on Form 10-K, SEC File No. 001-33038, filed March 1, 2021 ).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28"/>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of Stock Option Agreement Granted Under the ZIOPHARM Oncology, Inc. 2020 Equity Incentive Plan (incorporated by reference to</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Exhibit 10.10 to the Registrant’s Annual Report on Form 10-K, SEC File No. 001-33038, filed March 1, 2021 ).</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Indemnity Agreement for directors and executive officers (incorporated by reference to Exhibit 99.1 to the Registrant’s Current</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Report on Form 8-K, SEC File No. 001-33038, filed January 31, 2013).</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Employment Agreement, dated August 24, 2021, by and between the Registrant and Kevin S. Boyle Sr. (incorporated by reference to</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10.1 to the Registrant’s Current Report on Form 8-K, SEC File No. 001-33038, filed August 30,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Retention Bonus Agreement (incorporated by reference to Exhibit 10.20 to the Registrant’s Annual Report on Form 10-K, SEC</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License Agreement by and among the Registrant, Intrexon Corporation and The University of Texas System Board of Regents on behalf of</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The University of Texas M.D. Anderson Cancer Center dated as of January 13, 2015 (incorporated by reference to Exhibit 10.5 to the</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Registrant’s Current Report on Form 8-K, SEC File No. 001-33038, filed January 28, 2015).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10060" w:type="dxa"/>
            <w:vAlign w:val="bottom"/>
            <w:gridSpan w:val="28"/>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Exclusive License Agreement by and between the Registrant, Precigen, Inc. and Intrexon Corporation, dated October 5, 2018 (incorporated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 reference to Exhibit 10.1 to the Registrant’s Quarterly Report on Form 10-Q, SEC File No. 001-33038, filed November 9, 2018).</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10.26#</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1 to the Exclusive License Agreement by and between the Registrant and PGEN Therapeutics, Inc. (formerly known as</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Precigen, Inc.), dated October 15, 2020 (incorporated by reference to Exhibit 10.2 to the Registrant’s Quarterly Report on Form 10-Q SEC</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File No. 001-33038, filed November 5,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Exclusive License Agreement, dated, April 3, 2023, by and between the Registrant and Precigen, Inc. (incorporated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by reference to Exhibit 10.1 to the Registrant's Quarterly Report on Form 10-Q SEC File No. 001-33038, filed May 10, 2023).</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License and Collaboration Agreement by and among the Registrant, Intrexon Corporation and Ares Trading S.A. dated as of March 27,</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2015 (incorporated by reference to Exhibit 10.1 to the Registrant’s Current Report on Form 8-K, SEC File No. 001-33038, filed April 2,</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5" w:lineRule="exact"/>
              <w:rPr>
                <w:rFonts w:ascii="Times New Roman" w:cs="Times New Roman" w:eastAsia="Times New Roman" w:hAnsi="Times New Roman"/>
                <w:sz w:val="18"/>
                <w:szCs w:val="18"/>
                <w:color w:val="0000FF"/>
                <w:w w:val="90"/>
              </w:rPr>
            </w:pPr>
            <w:hyperlink r:id="rId126">
              <w:r>
                <w:rPr>
                  <w:rFonts w:ascii="Times New Roman" w:cs="Times New Roman" w:eastAsia="Times New Roman" w:hAnsi="Times New Roman"/>
                  <w:sz w:val="18"/>
                  <w:szCs w:val="18"/>
                  <w:color w:val="0000FF"/>
                  <w:w w:val="90"/>
                </w:rPr>
                <w:t>2015).</w:t>
              </w:r>
            </w:hyperlink>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10.29#</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Research and Development Agreement by and among the Registrant, Intrexon Corporation and The University of Texas M.D. Anderson</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Cancer Center dated as of August 17, 2015 (incorporated by reference to Exhibit 10.1 to the Registrant’s Current Report on Form 8-K, SEC</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File No. 001-33038, filed August 21, 2015).</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10.30</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Amendment to the Research and Development Agreement by and among the Registrant, Intrexon Corporation and The University of</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Texas M.D. Anderson Cancer Center dated as of August 30, 2016 (incorporated by reference to Exhibit 10.21 to the Registrant’s Annual</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Amendment to the Research and Development Agreement by and among the Registrant, Intrexon Corporation and The University</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of Texas M.D. Anderson Cancer Center dated as of January 17, 2017 (incorporated by reference to Exhibit 10.21 to the Registrant’s Annual</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10.32</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Third Amendment to the Research and Development Agreement by and among the Registrant, Intrexon Corporation and The University of</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Texas M.D. Anderson Cancer Center dated as of November 14, 2017 (incorporated by reference to Exhibit 10.23 to the Registrant’s Annual</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10.33</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Fourth Amendment to Research and Development Agreement, dated September 19, 2019 by and among the Registrant, The University of</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Texas MD Anderson Cancer Center and Precigen, Inc. (incorporated by reference to Exhibit 10.7 to the Registrant’s Quarterly Report on</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500" w:type="dxa"/>
            <w:vAlign w:val="bottom"/>
            <w:tcBorders>
              <w:right w:val="single" w:sz="8" w:color="0000FF"/>
            </w:tcBorders>
            <w:gridSpan w:val="9"/>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10-Q, SEC File No. 001-33038, filed November 7,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EE"/>
            </w:tcBorders>
            <w:gridSpan w:val="5"/>
            <w:shd w:val="clear" w:color="auto" w:fill="0000FF"/>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10.34#</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Fifth Amendment to Research and Development Agreement, dated October 22, 2019 by and among the Registrant and The University of</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380" w:type="dxa"/>
            <w:vAlign w:val="bottom"/>
            <w:tcBorders>
              <w:right w:val="single" w:sz="8" w:color="0000FF"/>
            </w:tcBorders>
            <w:gridSpan w:val="1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Texas MD Anderson Cancer Center (incorporated by reference to Exhibit 10.20 to the Registrant’s Annual Report on Form 10-K, SEC File</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380" w:type="dxa"/>
            <w:vAlign w:val="bottom"/>
            <w:tcBorders>
              <w:right w:val="single" w:sz="8" w:color="0000FF"/>
            </w:tcBorders>
            <w:gridSpan w:val="1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 001-33038, filed March 2,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6380" w:type="dxa"/>
            <w:vAlign w:val="bottom"/>
            <w:gridSpan w:val="1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10.35#</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2019 Research and Development Agreement, dated October 22, 2019, by and between the Registrant and The University of Texas MD</w:t>
              </w:r>
            </w:hyperlink>
          </w:p>
        </w:tc>
      </w:tr>
      <w:tr>
        <w:trPr>
          <w:trHeight w:val="20"/>
        </w:trPr>
        <w:tc>
          <w:tcPr>
            <w:tcW w:w="1180" w:type="dxa"/>
            <w:vAlign w:val="bottom"/>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7020" w:type="dxa"/>
            <w:vAlign w:val="bottom"/>
            <w:tcBorders>
              <w:right w:val="single" w:sz="8" w:color="0000FF"/>
            </w:tcBorders>
            <w:gridSpan w:val="15"/>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Anderson Cancer Center (incorporated by reference to Exhibit 10.21 to the Registrant’s Annual Report on Form 10-K, SEC File No. 001-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7020" w:type="dxa"/>
            <w:vAlign w:val="bottom"/>
            <w:tcBorders>
              <w:right w:val="single" w:sz="8" w:color="0000FF"/>
            </w:tcBorders>
            <w:gridSpan w:val="15"/>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33038, filed March 2,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10.36#</w:t>
            </w:r>
          </w:p>
        </w:tc>
        <w:tc>
          <w:tcPr>
            <w:tcW w:w="10060" w:type="dxa"/>
            <w:vAlign w:val="bottom"/>
            <w:gridSpan w:val="2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Patent License Agreement, dated as of May 28, 2019, by and between the Registrant and the National Cancer Institute (incorporated by</w:t>
              </w:r>
            </w:hyperlink>
          </w:p>
        </w:tc>
      </w:tr>
      <w:tr>
        <w:trPr>
          <w:trHeight w:val="20"/>
        </w:trPr>
        <w:tc>
          <w:tcPr>
            <w:tcW w:w="1180" w:type="dxa"/>
            <w:vAlign w:val="bottom"/>
          </w:tcPr>
          <w:p>
            <w:pPr>
              <w:spacing w:after="0" w:line="20" w:lineRule="exact"/>
              <w:rPr>
                <w:sz w:val="1"/>
                <w:szCs w:val="1"/>
                <w:color w:val="auto"/>
              </w:rPr>
            </w:pPr>
          </w:p>
        </w:tc>
        <w:tc>
          <w:tcPr>
            <w:tcW w:w="9080" w:type="dxa"/>
            <w:vAlign w:val="bottom"/>
            <w:tcBorders>
              <w:right w:val="single" w:sz="8" w:color="0000FF"/>
            </w:tcBorders>
            <w:gridSpan w:val="17"/>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to Exhibit 10.3 to the Registrant’s Quarterly Report on Form 10-Q, SEC File No. 001-33038, filed August 8, 2019).</w:t>
              </w:r>
            </w:hyperlink>
          </w:p>
        </w:tc>
      </w:tr>
      <w:tr>
        <w:trPr>
          <w:trHeight w:val="506"/>
        </w:trPr>
        <w:tc>
          <w:tcPr>
            <w:tcW w:w="1180" w:type="dxa"/>
            <w:vAlign w:val="bottom"/>
          </w:tcPr>
          <w:p>
            <w:pPr>
              <w:spacing w:after="0"/>
              <w:rPr>
                <w:sz w:val="24"/>
                <w:szCs w:val="24"/>
                <w:color w:val="auto"/>
              </w:rPr>
            </w:pPr>
          </w:p>
        </w:tc>
        <w:tc>
          <w:tcPr>
            <w:tcW w:w="4580" w:type="dxa"/>
            <w:vAlign w:val="bottom"/>
            <w:tcBorders>
              <w:top w:val="single" w:sz="8" w:color="0000FF"/>
            </w:tcBorders>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978"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10.37#</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Patent License Agreement, dated as of January 8, 2020,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Institute (incorporated by reference to Exhibit 10.23 to the Registrant’s Annual Report on Form 10-K, SEC File No. 001-33038, filed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March 2,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10.38#</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Second Amendment to Patent License Agreement, dated as of September 28, 2020,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Institute (incorporated by reference to Exhibit 10.1 to the Registrant’s Quarterly Report on Form 10-Q, SEC File No. 000-33038, filed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November 5,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10.39#</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Third Amendment to Patent License Agreement, dated as of April 16, 2021,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Institute (incorporated by reference to Exhibit 10.38 to the Registrant’s Annual Report on Form 10-K, SEC File No. 001-33038, filed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10.40#</w:t>
            </w: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Fourth Amendment to Patent License Agreement, dated as of May 4, 2021, by and between the Registrant and the National Cancer Institute</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10.39 to the Registrant’s Annual Report on Form 10-K, SEC File No. 001-33038, filed March 30,</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5" w:lineRule="exact"/>
              <w:rPr>
                <w:rFonts w:ascii="Times New Roman" w:cs="Times New Roman" w:eastAsia="Times New Roman" w:hAnsi="Times New Roman"/>
                <w:sz w:val="18"/>
                <w:szCs w:val="18"/>
                <w:color w:val="0000FF"/>
                <w:w w:val="90"/>
              </w:rPr>
            </w:pPr>
            <w:hyperlink r:id="rId140">
              <w:r>
                <w:rPr>
                  <w:rFonts w:ascii="Times New Roman" w:cs="Times New Roman" w:eastAsia="Times New Roman" w:hAnsi="Times New Roman"/>
                  <w:sz w:val="18"/>
                  <w:szCs w:val="18"/>
                  <w:color w:val="0000FF"/>
                  <w:w w:val="90"/>
                </w:rPr>
                <w:t>2022).</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Fifth Amendment to Patent License Agreement, dated as of August 13, 2021,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Institute (incorporated by reference to Exhibit 10.40 to the Registrant’s Annual Report on Form 10-K, SEC File No. 001-33038, filed</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10.42#</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Cooperative Research and Development Agreement, dated January 9, 2017, by and among the Registrant, the National Cancer Institute,</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and Intrexon Corporation (incorporated by reference to Exhibit 10.1 to the Registrant’s Current Report on Form 8-K SEC File No. 001-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10.43</w:t>
            </w: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First Amendment to the Cooperative Research and Development Agreement, dated March 23, 2018, by and among the Registrant, National</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Cancer Institute, Intrexon Corporation and Precigen, Inc. (incorporated by reference to Exhibit 10.2 to the Registrant’s Current Report on</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8-K SEC File No. 001-33038,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10.44#</w:t>
            </w: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Second Amendment to the Cooperative Research and Development Agreement, dated February 1, 2019, by and among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Institute, the Registrant and Precigen, Inc. (incorporated by reference to Exhibit 10.3 to the Registrant’s Current Report on Form 8-K SEC</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 No. 001-33038,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10.45</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Third Amendment to the Cooperative Research and Development Agreement, dated March 15, 2022, by and among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Institute and the Registrant (incorporated by reference to Exhibit 10.44 to the Registrant’s Annual Report on Form 10-K, SEC File No.</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001-33038, filed 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10.46</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Fourth Amendment to the Cooperative Research and Development Agreement, dated June 24, 2022, by and between the National Cancer</w:t>
              </w:r>
            </w:hyperlink>
          </w:p>
        </w:tc>
      </w:tr>
      <w:tr>
        <w:trPr>
          <w:trHeight w:val="20"/>
        </w:trPr>
        <w:tc>
          <w:tcPr>
            <w:tcW w:w="1180" w:type="dxa"/>
            <w:vAlign w:val="bottom"/>
          </w:tcPr>
          <w:p>
            <w:pPr>
              <w:spacing w:after="0" w:line="20" w:lineRule="exact"/>
              <w:rPr>
                <w:sz w:val="1"/>
                <w:szCs w:val="1"/>
                <w:color w:val="auto"/>
              </w:rPr>
            </w:pPr>
          </w:p>
        </w:tc>
        <w:tc>
          <w:tcPr>
            <w:tcW w:w="2540" w:type="dxa"/>
            <w:vAlign w:val="bottom"/>
            <w:tcBorders>
              <w:right w:val="single" w:sz="8" w:color="0000FF"/>
            </w:tcBorders>
            <w:gridSpan w:val="6"/>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Institute and the Registrant (incorporated by reference to Exhibit 10.1 to the Registrant's Quarterly Report on Form 10-Q, SEC File No.</w:t>
              </w:r>
            </w:hyperlink>
          </w:p>
        </w:tc>
      </w:tr>
      <w:tr>
        <w:trPr>
          <w:trHeight w:val="20"/>
        </w:trPr>
        <w:tc>
          <w:tcPr>
            <w:tcW w:w="1180" w:type="dxa"/>
            <w:vAlign w:val="bottom"/>
          </w:tcPr>
          <w:p>
            <w:pPr>
              <w:spacing w:after="0" w:line="20" w:lineRule="exact"/>
              <w:rPr>
                <w:sz w:val="1"/>
                <w:szCs w:val="1"/>
                <w:color w:val="auto"/>
              </w:rPr>
            </w:pPr>
          </w:p>
        </w:tc>
        <w:tc>
          <w:tcPr>
            <w:tcW w:w="2540" w:type="dxa"/>
            <w:vAlign w:val="bottom"/>
            <w:tcBorders>
              <w:right w:val="single" w:sz="8" w:color="0000FF"/>
            </w:tcBorders>
            <w:gridSpan w:val="6"/>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001-33038, filed August 15,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gridSpan w:val="6"/>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10.47</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Lease Agreement, dated as of October 15, 2019, by and between the Registrant and The University of Texas System Board of Regents on</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behalf of The University of Texas M.D. Anderson Cancer Center (incorporated by reference to Exhibit 10.39 to the Registrant’s Annual</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10.48</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First Amendment, dated as of April 7, 2020, to the Lease Agreement, dated as of October 15, 2019, by and between the Registrant and The</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University of Texas System Board of Regents on behalf of The University of Texas M.D. Anderson Cancer Center (incorporated by</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10.40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10.49</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Second Amendment, dated as of April 7, 2020, to the Lease Agreement, dated as of October 15, 2019, by and between the Registrant and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The University of Texas System Board of Regents on behalf of The University of Texas M.D. Anderson Cancer Center (incorporated by</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10.41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10.50</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Third Amendment, dated as of December 15, 2020, to the Lease Agreement, dated as of October 15, 2019, by and between the Registrant</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and The University of Texas System Board of Regents on behalf of The University of Texas M.D. Anderson Cancer Center (incorporated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by reference to Exhibit 10.42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10.51</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Lease Agreement dated as of December 15, 2020, by and between the Registrant and The University of Texas System Board of Regents on</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behalf of The University of Texas M.D. Anderson Cancer Center (incorporated by reference to Exhibit 10.43 to the Registrant’s Annual</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10.52</w:t>
            </w:r>
          </w:p>
        </w:tc>
        <w:tc>
          <w:tcPr>
            <w:tcW w:w="10060" w:type="dxa"/>
            <w:vAlign w:val="bottom"/>
            <w:gridSpan w:val="23"/>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Agreement dated February 4, 2021, by and among the Registrant, WaterMill Asset Management Corp. and Robert W. Postma (incorporated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by reference to Exhibit 10.1 to the Registrant’s Current Report on Form 8-K, SEC File No. 001-33038, filed February 5,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00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EE"/>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10.53</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Loan and Security Agreement by and among the Registrant, the lenders party thereto and Silicon Valley Bank, as administrative agent and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collateral agent, dated August 6, 2021 (incorporated by reference to Exhibit 10.1 to the Registrant’s Quarterly Report on Form 10-Q, SEC</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File No. 001-33038, filed November 8,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10.54</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to the Loan and Security Agreement by and among the Registrant, the lenders party thereto and Silicon Valley Bank, as</w:t>
              </w:r>
            </w:hyperlink>
          </w:p>
        </w:tc>
      </w:tr>
      <w:tr>
        <w:trPr>
          <w:trHeight w:val="20"/>
        </w:trPr>
        <w:tc>
          <w:tcPr>
            <w:tcW w:w="1180" w:type="dxa"/>
            <w:vAlign w:val="bottom"/>
          </w:tcPr>
          <w:p>
            <w:pPr>
              <w:spacing w:after="0" w:line="20" w:lineRule="exact"/>
              <w:rPr>
                <w:sz w:val="1"/>
                <w:szCs w:val="1"/>
                <w:color w:val="auto"/>
              </w:rPr>
            </w:pPr>
          </w:p>
        </w:tc>
        <w:tc>
          <w:tcPr>
            <w:tcW w:w="5120" w:type="dxa"/>
            <w:vAlign w:val="bottom"/>
            <w:gridSpan w:val="11"/>
            <w:shd w:val="clear" w:color="auto" w:fill="0000FF"/>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administrative agent and collateral agent, dated December 28, 2021 (incorporated by reference to Exhibit 10.52 to the Registrant’s Annual</w:t>
              </w:r>
            </w:hyperlink>
          </w:p>
        </w:tc>
      </w:tr>
      <w:tr>
        <w:trPr>
          <w:trHeight w:val="20"/>
        </w:trPr>
        <w:tc>
          <w:tcPr>
            <w:tcW w:w="1180" w:type="dxa"/>
            <w:vAlign w:val="bottom"/>
          </w:tcPr>
          <w:p>
            <w:pPr>
              <w:spacing w:after="0" w:line="20" w:lineRule="exact"/>
              <w:rPr>
                <w:sz w:val="1"/>
                <w:szCs w:val="1"/>
                <w:color w:val="auto"/>
              </w:rPr>
            </w:pPr>
          </w:p>
        </w:tc>
        <w:tc>
          <w:tcPr>
            <w:tcW w:w="5120" w:type="dxa"/>
            <w:vAlign w:val="bottom"/>
            <w:gridSpan w:val="11"/>
            <w:shd w:val="clear" w:color="auto" w:fill="0000FF"/>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3"/>
          </w:tcPr>
          <w:p>
            <w:pPr>
              <w:spacing w:after="0" w:line="19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Report on Form 10-K, SEC File No. 001-33038, filed March 30, 2022).</w:t>
              </w:r>
            </w:hyperlink>
          </w:p>
        </w:tc>
      </w:tr>
      <w:tr>
        <w:trPr>
          <w:trHeight w:val="506"/>
        </w:trPr>
        <w:tc>
          <w:tcPr>
            <w:tcW w:w="1180" w:type="dxa"/>
            <w:vAlign w:val="bottom"/>
          </w:tcPr>
          <w:p>
            <w:pPr>
              <w:spacing w:after="0"/>
              <w:rPr>
                <w:sz w:val="24"/>
                <w:szCs w:val="24"/>
                <w:color w:val="auto"/>
              </w:rPr>
            </w:pPr>
          </w:p>
        </w:tc>
        <w:tc>
          <w:tcPr>
            <w:tcW w:w="5060" w:type="dxa"/>
            <w:vAlign w:val="bottom"/>
            <w:tcBorders>
              <w:top w:val="single" w:sz="8" w:color="0000FF"/>
            </w:tcBorders>
            <w:gridSpan w:val="10"/>
          </w:tcPr>
          <w:p>
            <w:pPr>
              <w:jc w:val="right"/>
              <w:ind w:right="52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Borders>
              <w:top w:val="single" w:sz="8" w:color="0000FF"/>
            </w:tcBorders>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2"/>
        </w:trPr>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10.55</w:t>
            </w:r>
          </w:p>
        </w:tc>
        <w:tc>
          <w:tcPr>
            <w:tcW w:w="10000" w:type="dxa"/>
            <w:vAlign w:val="bottom"/>
            <w:gridSpan w:val="13"/>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Equity Distribution Agreement, dated August 12, 2022, by and between Piper Sandler &amp; Co. and the Registrant (incorporated by reference</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to Exhibit 10.2 to the Registrant’s Quarterly Report on Form 10-Q, SEC File No. 001-33038, filed August 15, 2022).</w:t>
              </w:r>
            </w:hyperlink>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10.56</w:t>
            </w:r>
          </w:p>
        </w:tc>
        <w:tc>
          <w:tcPr>
            <w:tcW w:w="10000" w:type="dxa"/>
            <w:vAlign w:val="bottom"/>
            <w:gridSpan w:val="1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Underwriting Agreement, dated as of November 29, 2022, by and between Cantor Fitzgerald &amp; Co. and the Registrant (incorporated by</w:t>
              </w:r>
            </w:hyperlink>
          </w:p>
        </w:tc>
        <w:tc>
          <w:tcPr>
            <w:tcW w:w="20" w:type="dxa"/>
            <w:vAlign w:val="bottom"/>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 to Exhibit 1.1 to the Registrant’s Current Report on Form 8-K, SEC File No. 001-33038, filed November 30, 2022).</w:t>
              </w:r>
            </w:hyperlink>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10.57+</w:t>
            </w:r>
          </w:p>
        </w:tc>
        <w:tc>
          <w:tcPr>
            <w:tcW w:w="10000" w:type="dxa"/>
            <w:vAlign w:val="bottom"/>
            <w:gridSpan w:val="1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Retention Agreement, dated as of August 14, 2023, between the Registrant and Melinda Lackey (incorporated by reference to Exhibit 10.1</w:t>
              </w:r>
            </w:hyperlink>
          </w:p>
        </w:tc>
        <w:tc>
          <w:tcPr>
            <w:tcW w:w="20" w:type="dxa"/>
            <w:vAlign w:val="bottom"/>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to the Registrant's Quarterly Report on Form 10-Q, SEC File No. 001-33038, filed November 14, 2023).</w:t>
              </w:r>
            </w:hyperlink>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10.58+</w:t>
            </w:r>
          </w:p>
        </w:tc>
        <w:tc>
          <w:tcPr>
            <w:tcW w:w="10000" w:type="dxa"/>
            <w:vAlign w:val="bottom"/>
            <w:gridSpan w:val="13"/>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Retention Agreement, dated as of August 14, 2023, between the Registrant and Drew Deniger (incorporated by reference to Exhibit 10.2 to</w:t>
              </w:r>
            </w:hyperlink>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Registrant's Quarterly Report on Form 10-Q, SEC File No. 001-33038, filed November 14, 2023).</w:t>
              </w:r>
            </w:hyperlink>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10.59+*</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Consulting Agreement, dated as of November 14, 2023, between the Registrant and Melinda Lackey.</w:t>
            </w:r>
          </w:p>
        </w:tc>
        <w:tc>
          <w:tcPr>
            <w:tcW w:w="2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10.60+*</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Separation Agreement, dated as of December 22, 2023, between the Registrant and Kevin S. Boyle, Sr.</w:t>
            </w:r>
          </w:p>
        </w:tc>
        <w:tc>
          <w:tcPr>
            <w:tcW w:w="2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10.61+*</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Consulting Agreement, dated as of December 22, 2023, between the Registrant and Kevin S. Boyle, Sr.</w:t>
            </w:r>
          </w:p>
        </w:tc>
        <w:tc>
          <w:tcPr>
            <w:tcW w:w="2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10.62+*</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Consulting Agreement, dated as of February 21, 2024, between the Registrant and Ferdinand Groenewald.</w:t>
            </w:r>
          </w:p>
        </w:tc>
        <w:tc>
          <w:tcPr>
            <w:tcW w:w="2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r>
              <w:rPr>
                <w:rFonts w:ascii="Times New Roman" w:cs="Times New Roman" w:eastAsia="Times New Roman" w:hAnsi="Times New Roman"/>
                <w:sz w:val="18"/>
                <w:szCs w:val="18"/>
                <w:color w:val="000000"/>
              </w:rPr>
              <w:t>.</w:t>
            </w:r>
          </w:p>
        </w:tc>
        <w:tc>
          <w:tcPr>
            <w:tcW w:w="2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Exchange Act Rule 13a-14(a) or 15(d)-14(a), as</w:t>
            </w:r>
          </w:p>
        </w:tc>
        <w:tc>
          <w:tcPr>
            <w:tcW w:w="20" w:type="dxa"/>
            <w:vAlign w:val="bottom"/>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0" w:type="dxa"/>
            <w:vAlign w:val="bottom"/>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80" w:type="dxa"/>
            <w:vAlign w:val="bottom"/>
            <w:gridSpan w:val="9"/>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Alaunos Therapeutics, Inc. Clawback Policy.</w:t>
            </w:r>
          </w:p>
        </w:tc>
        <w:tc>
          <w:tcPr>
            <w:tcW w:w="20" w:type="dxa"/>
            <w:vAlign w:val="bottom"/>
          </w:tcPr>
          <w:p>
            <w:pPr>
              <w:spacing w:after="0"/>
              <w:rPr>
                <w:sz w:val="22"/>
                <w:szCs w:val="22"/>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tcPr>
          <w:p>
            <w:pPr>
              <w:spacing w:after="0"/>
              <w:rPr>
                <w:sz w:val="22"/>
                <w:szCs w:val="22"/>
                <w:color w:val="auto"/>
              </w:rPr>
            </w:pP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 w:type="dxa"/>
            <w:vAlign w:val="bottom"/>
          </w:tcPr>
          <w:p>
            <w:pPr>
              <w:spacing w:after="0"/>
              <w:rPr>
                <w:sz w:val="24"/>
                <w:szCs w:val="24"/>
                <w:color w:val="auto"/>
              </w:rPr>
            </w:pP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 within the</w:t>
            </w:r>
          </w:p>
        </w:tc>
        <w:tc>
          <w:tcPr>
            <w:tcW w:w="20" w:type="dxa"/>
            <w:vAlign w:val="bottom"/>
          </w:tcPr>
          <w:p>
            <w:pPr>
              <w:spacing w:after="0"/>
              <w:rPr>
                <w:sz w:val="23"/>
                <w:szCs w:val="23"/>
                <w:color w:val="auto"/>
              </w:rPr>
            </w:pPr>
          </w:p>
        </w:tc>
      </w:tr>
      <w:tr>
        <w:trPr>
          <w:trHeight w:val="234"/>
        </w:trPr>
        <w:tc>
          <w:tcPr>
            <w:tcW w:w="1160" w:type="dxa"/>
            <w:vAlign w:val="bottom"/>
          </w:tcPr>
          <w:p>
            <w:pPr>
              <w:spacing w:after="0"/>
              <w:rPr>
                <w:sz w:val="20"/>
                <w:szCs w:val="20"/>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Exhibit 101 attachments</w:t>
            </w:r>
          </w:p>
        </w:tc>
        <w:tc>
          <w:tcPr>
            <w:tcW w:w="20" w:type="dxa"/>
            <w:vAlign w:val="bottom"/>
          </w:tcPr>
          <w:p>
            <w:pPr>
              <w:spacing w:after="0"/>
              <w:rPr>
                <w:sz w:val="20"/>
                <w:szCs w:val="20"/>
                <w:color w:val="auto"/>
              </w:rPr>
            </w:pPr>
          </w:p>
        </w:tc>
      </w:tr>
    </w:tbl>
    <w:p>
      <w:pPr>
        <w:spacing w:after="0" w:line="49" w:lineRule="exact"/>
        <w:rPr>
          <w:sz w:val="20"/>
          <w:szCs w:val="20"/>
          <w:color w:val="auto"/>
        </w:rPr>
      </w:pPr>
    </w:p>
    <w:p>
      <w:pPr>
        <w:ind w:left="1160" w:hanging="1139"/>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sz w:val="20"/>
          <w:szCs w:val="20"/>
          <w:color w:val="auto"/>
        </w:rPr>
      </w:pPr>
    </w:p>
    <w:p>
      <w:pPr>
        <w:ind w:left="1160" w:hanging="1139"/>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6" w:lineRule="exact"/>
        <w:rPr>
          <w:sz w:val="20"/>
          <w:szCs w:val="20"/>
          <w:color w:val="auto"/>
        </w:rPr>
      </w:pPr>
    </w:p>
    <w:p>
      <w:pPr>
        <w:ind w:left="1160" w:hanging="1139"/>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6" w:lineRule="exact"/>
        <w:rPr>
          <w:sz w:val="20"/>
          <w:szCs w:val="20"/>
          <w:color w:val="auto"/>
        </w:rPr>
      </w:pPr>
    </w:p>
    <w:p>
      <w:pPr>
        <w:ind w:left="1160" w:hanging="1139"/>
        <w:spacing w:after="0"/>
        <w:tabs>
          <w:tab w:leader="none" w:pos="1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by the Securities and Exchange Commission as to certain portions of this document.</w:t>
      </w:r>
    </w:p>
    <w:p>
      <w:pPr>
        <w:spacing w:after="0" w:line="76" w:lineRule="exact"/>
        <w:rPr>
          <w:sz w:val="20"/>
          <w:szCs w:val="20"/>
          <w:color w:val="auto"/>
        </w:rPr>
      </w:pPr>
    </w:p>
    <w:p>
      <w:pPr>
        <w:ind w:left="1160" w:right="60" w:hanging="1139"/>
        <w:spacing w:after="0" w:line="281" w:lineRule="auto"/>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79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ALAUNOS THERAPEUTICS, INC.</w:t>
            </w:r>
          </w:p>
        </w:tc>
      </w:tr>
      <w:tr>
        <w:trPr>
          <w:trHeight w:val="46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79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Dale Curtis Hogue, Jr.</w:t>
            </w:r>
          </w:p>
        </w:tc>
      </w:tr>
      <w:tr>
        <w:trPr>
          <w:trHeight w:val="211"/>
        </w:trPr>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Dale Curtis Hogue, Jr.</w:t>
            </w:r>
          </w:p>
        </w:tc>
      </w:tr>
      <w:tr>
        <w:trPr>
          <w:trHeight w:val="227"/>
        </w:trPr>
        <w:tc>
          <w:tcPr>
            <w:tcW w:w="3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 and Director</w:t>
            </w:r>
          </w:p>
        </w:tc>
      </w:tr>
      <w:tr>
        <w:trPr>
          <w:trHeight w:val="236"/>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r>
        <w:trPr>
          <w:trHeight w:val="46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79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Ferdinand Groenewald</w:t>
            </w:r>
          </w:p>
        </w:tc>
      </w:tr>
      <w:tr>
        <w:trPr>
          <w:trHeight w:val="211"/>
        </w:trPr>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Ferdinand Groenewald</w:t>
            </w:r>
          </w:p>
        </w:tc>
      </w:tr>
      <w:tr>
        <w:trPr>
          <w:trHeight w:val="227"/>
        </w:trPr>
        <w:tc>
          <w:tcPr>
            <w:tcW w:w="3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36"/>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1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7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Dale Curtis Hogue, Jr.</w:t>
            </w:r>
          </w:p>
        </w:tc>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Dale Curtis Hogue, Jr.</w:t>
            </w:r>
          </w:p>
        </w:tc>
        <w:tc>
          <w:tcPr>
            <w:tcW w:w="37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Interim Chief Executive Officer and Director</w:t>
            </w:r>
          </w:p>
        </w:tc>
        <w:tc>
          <w:tcPr>
            <w:tcW w:w="2520" w:type="dxa"/>
            <w:vAlign w:val="bottom"/>
          </w:tcPr>
          <w:p>
            <w:pPr>
              <w:ind w:left="300"/>
              <w:spacing w:after="0" w:line="195" w:lineRule="exact"/>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Ferdinand Groenewald</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vMerge w:val="continue"/>
          </w:tcPr>
          <w:p>
            <w:pPr>
              <w:spacing w:after="0"/>
              <w:rPr>
                <w:sz w:val="20"/>
                <w:szCs w:val="20"/>
                <w:color w:val="auto"/>
              </w:rPr>
            </w:pPr>
          </w:p>
        </w:tc>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Ferdinand Groenewald</w:t>
            </w:r>
          </w:p>
        </w:tc>
        <w:tc>
          <w:tcPr>
            <w:tcW w:w="37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 xml:space="preserve">Vice President, Finance </w:t>
            </w:r>
            <w:r>
              <w:rPr>
                <w:rFonts w:ascii="Times New Roman" w:cs="Times New Roman" w:eastAsia="Times New Roman" w:hAnsi="Times New Roman"/>
                <w:sz w:val="18"/>
                <w:szCs w:val="18"/>
                <w:i w:val="1"/>
                <w:iCs w:val="1"/>
                <w:color w:val="auto"/>
              </w:rPr>
              <w:t>(Principal Accounting</w:t>
            </w:r>
          </w:p>
        </w:tc>
        <w:tc>
          <w:tcPr>
            <w:tcW w:w="2520" w:type="dxa"/>
            <w:vAlign w:val="bottom"/>
          </w:tcPr>
          <w:p>
            <w:pPr>
              <w:ind w:left="300"/>
              <w:spacing w:after="0" w:line="195" w:lineRule="exact"/>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Hofmeister</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Hofmeister</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Postma</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Postma</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Jaime Vieser</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Jaime Vieser</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Holger Weis</w:t>
            </w:r>
          </w:p>
        </w:tc>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Holger Weis</w:t>
            </w:r>
          </w:p>
        </w:tc>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1, 2024</w:t>
            </w:r>
          </w:p>
        </w:tc>
        <w:tc>
          <w:tcPr>
            <w:tcW w:w="0" w:type="dxa"/>
            <w:vAlign w:val="bottom"/>
          </w:tcPr>
          <w:p>
            <w:pPr>
              <w:spacing w:after="0"/>
              <w:rPr>
                <w:sz w:val="1"/>
                <w:szCs w:val="1"/>
                <w:color w:val="auto"/>
              </w:rPr>
            </w:pPr>
          </w:p>
        </w:tc>
      </w:tr>
      <w:tr>
        <w:trPr>
          <w:trHeight w:val="642"/>
        </w:trPr>
        <w:tc>
          <w:tcPr>
            <w:tcW w:w="4960" w:type="dxa"/>
            <w:vAlign w:val="bottom"/>
          </w:tcPr>
          <w:p>
            <w:pPr>
              <w:spacing w:after="0"/>
              <w:rPr>
                <w:sz w:val="24"/>
                <w:szCs w:val="24"/>
                <w:color w:val="auto"/>
              </w:rPr>
            </w:pPr>
          </w:p>
        </w:tc>
        <w:tc>
          <w:tcPr>
            <w:tcW w:w="3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9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color w:val="auto"/>
        </w:rPr>
        <w:t>Alaunos Therapeutics,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320" w:type="dxa"/>
            <w:vAlign w:val="bottom"/>
          </w:tcPr>
          <w:p>
            <w:pPr>
              <w:spacing w:after="0"/>
              <w:rPr>
                <w:sz w:val="14"/>
                <w:szCs w:val="14"/>
                <w:color w:val="auto"/>
              </w:rPr>
            </w:pPr>
          </w:p>
        </w:tc>
      </w:tr>
      <w:tr>
        <w:trPr>
          <w:trHeight w:val="171"/>
        </w:trPr>
        <w:tc>
          <w:tcPr>
            <w:tcW w:w="280" w:type="dxa"/>
            <w:vAlign w:val="bottom"/>
          </w:tcPr>
          <w:p>
            <w:pPr>
              <w:spacing w:after="0"/>
              <w:rPr>
                <w:sz w:val="14"/>
                <w:szCs w:val="14"/>
                <w:color w:val="auto"/>
              </w:rPr>
            </w:pPr>
          </w:p>
        </w:tc>
        <w:tc>
          <w:tcPr>
            <w:tcW w:w="9820" w:type="dxa"/>
            <w:vAlign w:val="bottom"/>
            <w:gridSpan w:val="7"/>
          </w:tcPr>
          <w:p>
            <w:pPr>
              <w:spacing w:after="0" w:line="171"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(RSM US LLP; Boston, MA; PCAOB ID: 49)</w:t>
            </w:r>
          </w:p>
        </w:tc>
        <w:tc>
          <w:tcPr>
            <w:tcW w:w="820" w:type="dxa"/>
            <w:vAlign w:val="bottom"/>
          </w:tcPr>
          <w:p>
            <w:pPr>
              <w:ind w:left="600"/>
              <w:spacing w:after="0" w:line="171" w:lineRule="exact"/>
              <w:rPr>
                <w:sz w:val="20"/>
                <w:szCs w:val="20"/>
                <w:color w:val="auto"/>
              </w:rPr>
            </w:pPr>
            <w:r>
              <w:rPr>
                <w:rFonts w:ascii="Times New Roman" w:cs="Times New Roman" w:eastAsia="Times New Roman" w:hAnsi="Times New Roman"/>
                <w:sz w:val="16"/>
                <w:szCs w:val="16"/>
                <w:color w:val="auto"/>
                <w:w w:val="89"/>
              </w:rPr>
              <w:t>F-1</w:t>
            </w:r>
          </w:p>
        </w:tc>
        <w:tc>
          <w:tcPr>
            <w:tcW w:w="320" w:type="dxa"/>
            <w:vAlign w:val="bottom"/>
          </w:tcPr>
          <w:p>
            <w:pPr>
              <w:spacing w:after="0"/>
              <w:rPr>
                <w:sz w:val="14"/>
                <w:szCs w:val="14"/>
                <w:color w:val="auto"/>
              </w:rPr>
            </w:pPr>
          </w:p>
        </w:tc>
      </w:tr>
      <w:tr>
        <w:trPr>
          <w:trHeight w:val="209"/>
        </w:trPr>
        <w:tc>
          <w:tcPr>
            <w:tcW w:w="280" w:type="dxa"/>
            <w:vAlign w:val="bottom"/>
          </w:tcPr>
          <w:p>
            <w:pPr>
              <w:spacing w:after="0"/>
              <w:rPr>
                <w:sz w:val="18"/>
                <w:szCs w:val="18"/>
                <w:color w:val="auto"/>
              </w:rPr>
            </w:pPr>
          </w:p>
        </w:tc>
        <w:tc>
          <w:tcPr>
            <w:tcW w:w="6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Balance Sheets as of December 31, 2023 and 2022</w:t>
            </w:r>
          </w:p>
        </w:tc>
        <w:tc>
          <w:tcPr>
            <w:tcW w:w="300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9"/>
              </w:rPr>
              <w:t>F-3</w:t>
            </w:r>
          </w:p>
        </w:tc>
        <w:tc>
          <w:tcPr>
            <w:tcW w:w="32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Statements of Operations for the Years Ended December 31, 2023 and 2022</w:t>
            </w:r>
          </w:p>
        </w:tc>
        <w:tc>
          <w:tcPr>
            <w:tcW w:w="8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9"/>
              </w:rPr>
              <w:t>F-4</w:t>
            </w:r>
          </w:p>
        </w:tc>
        <w:tc>
          <w:tcPr>
            <w:tcW w:w="32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9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6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Statements of Changes in Stockholders’ Equity for the Years Ended December 31, 2023 and 2022</w:t>
            </w:r>
          </w:p>
        </w:tc>
        <w:tc>
          <w:tcPr>
            <w:tcW w:w="3480" w:type="dxa"/>
            <w:vAlign w:val="bottom"/>
            <w:gridSpan w:val="2"/>
          </w:tcPr>
          <w:p>
            <w:pPr>
              <w:spacing w:after="0"/>
              <w:rPr>
                <w:sz w:val="18"/>
                <w:szCs w:val="18"/>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9"/>
              </w:rPr>
              <w:t>F-5</w:t>
            </w:r>
          </w:p>
        </w:tc>
        <w:tc>
          <w:tcPr>
            <w:tcW w:w="32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4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Statements of Cash Flows for the Years Ended December 31, 2023 and 2022</w:t>
            </w:r>
          </w:p>
        </w:tc>
        <w:tc>
          <w:tcPr>
            <w:tcW w:w="4860" w:type="dxa"/>
            <w:vAlign w:val="bottom"/>
            <w:gridSpan w:val="3"/>
          </w:tcPr>
          <w:p>
            <w:pPr>
              <w:spacing w:after="0"/>
              <w:rPr>
                <w:sz w:val="18"/>
                <w:szCs w:val="18"/>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9"/>
              </w:rPr>
              <w:t>F-6</w:t>
            </w:r>
          </w:p>
        </w:tc>
        <w:tc>
          <w:tcPr>
            <w:tcW w:w="32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Notes to Financial Statements</w:t>
            </w:r>
          </w:p>
        </w:tc>
        <w:tc>
          <w:tcPr>
            <w:tcW w:w="8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9"/>
              </w:rPr>
              <w:t>F-7</w:t>
            </w:r>
          </w:p>
        </w:tc>
        <w:tc>
          <w:tcPr>
            <w:tcW w:w="320" w:type="dxa"/>
            <w:vAlign w:val="bottom"/>
          </w:tcPr>
          <w:p>
            <w:pPr>
              <w:spacing w:after="0"/>
              <w:rPr>
                <w:sz w:val="18"/>
                <w:szCs w:val="18"/>
                <w:color w:val="auto"/>
              </w:rPr>
            </w:pPr>
          </w:p>
        </w:tc>
      </w:tr>
      <w:tr>
        <w:trPr>
          <w:trHeight w:val="1228"/>
        </w:trPr>
        <w:tc>
          <w:tcPr>
            <w:tcW w:w="280" w:type="dxa"/>
            <w:vAlign w:val="bottom"/>
            <w:tcBorders>
              <w:bottom w:val="single" w:sz="8" w:color="9A9A9A"/>
            </w:tcBorders>
          </w:tcPr>
          <w:p>
            <w:pPr>
              <w:spacing w:after="0"/>
              <w:rPr>
                <w:sz w:val="24"/>
                <w:szCs w:val="24"/>
                <w:color w:val="auto"/>
              </w:rPr>
            </w:pPr>
          </w:p>
        </w:tc>
        <w:tc>
          <w:tcPr>
            <w:tcW w:w="194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74" w:name="page75"/>
    <w:bookmarkEnd w:id="74"/>
    <w:p>
      <w:pPr>
        <w:ind w:left="28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Alaunos Therapeutics,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2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We have audited the accompanying balance sheets of Alaunos Therapeutics, Inc. (the Company) as of December 31, 2023 and 2022, the related statements of operations, stockholders' equity and cash flows for the years then ended, and the related notes to the financial statements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Company’s Ability to Continue as a Going Concern</w:t>
      </w:r>
    </w:p>
    <w:p>
      <w:pPr>
        <w:spacing w:after="0" w:line="12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suffered recurring losses from operations since inception and will be required to raise additional capital to fund operations.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4"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2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this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Accruals for Clinical Trials and Other Research and Development Expenses</w:t>
      </w:r>
    </w:p>
    <w:p>
      <w:pPr>
        <w:spacing w:after="0" w:line="12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discussed in Note 3 to the financial statements, the Company accrues costs for clinical trials and other research and development expenses based on estimates of costs incurred through the balance sheet date that have not been invoiced by the clinical research organizations, clinical study sites, consultants, or other vendors. This process involves reviewing open contracts and purchase orders, communicating with vendors and internal personnel to identify services that have been performed, and estimating the level of service performed and the associated costs incurred for the services when the Company has not yet been invoiced or otherwise notified of the actual costs. The Company's accrual for clinical trial expenses totaled $0.6 million at December 31, 2023, as disclosed in Note 6.</w:t>
      </w:r>
    </w:p>
    <w:p>
      <w:pPr>
        <w:spacing w:after="0" w:line="7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We identified the accruals for clinical trials and other research and development expenses to be a critical audit matter because auditing the Company’s accruals is complex as the information necessary to make an estimate is accumulated from multiple sources and there may be delays in invoicing from clinical study sites and other vendors, or payments may depend on factors such as the completion of clinical trial milestones. Additionally, in certain circumstances, it requires judgment, as the timing and pattern of vendor invoicing may not correspond to the level of services provided.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Addressed the Matter in our Audit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to test the accruals for clinical trials and preclinical studies expenses included, among others:</w:t>
      </w:r>
    </w:p>
    <w:p>
      <w:pPr>
        <w:spacing w:after="0" w:line="126"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accuracy and completeness of the underlying data used in the estimates and evaluated the reasonableness of assumptions used by management.</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inspected certain contracts with third parties and related information received by the Company to test proper recording of costs incurred to date.</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corroborated the progress of research and development activities through confirmations with certain third parties.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5" w:name="page76"/>
    <w:bookmarkEnd w:id="75"/>
    <w:p>
      <w:pPr>
        <w:ind w:left="1020" w:hanging="50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analytical procedures over fluctuations in accrued expenses by department level throughout the year.</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subsequent invoices received from third parties and cash disbursements to assess completeness of recorded accruals.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 2024</w:t>
      </w:r>
    </w:p>
    <w:p>
      <w:pPr>
        <w:spacing w:after="0" w:line="1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3"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34,666,667 shares authorized, 16,012,522 shares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2023 and 28,000,000 shares authorized, 16,027,384 shares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919,166</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(915,767 )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(880,627 )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-3304540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-1566545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lease modification and termination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34,272</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38,027</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(34,267 )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(35,105 )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(3,154 )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(873 )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(2,625 )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(35,140 )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(37,730 )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23"/>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15,995,323</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14,475,354</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-2414270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-1480820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-530225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CHANGES IN STOCKHOLDERS’ EQUITY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13"/>
                <w:szCs w:val="13"/>
                <w:color w:val="auto"/>
              </w:rPr>
            </w:pPr>
          </w:p>
        </w:tc>
        <w:tc>
          <w:tcPr>
            <w:tcW w:w="12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120" w:type="dxa"/>
            <w:vAlign w:val="bottom"/>
            <w:gridSpan w:val="3"/>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14,408,496</w:t>
            </w:r>
          </w:p>
        </w:tc>
        <w:tc>
          <w:tcPr>
            <w:tcW w:w="2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900,895</w:t>
            </w:r>
          </w:p>
        </w:tc>
        <w:tc>
          <w:tcPr>
            <w:tcW w:w="4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(842,852 )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(15,527 )</w:t>
            </w: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(1,250 )</w:t>
            </w: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expenses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1,615,248</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(37,730 )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(37,730 )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16,027,384</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919,166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(880,627 )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expenses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(29,282 )</w:t>
            </w: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(35,140 )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(35,140 )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16,012,522</w:t>
            </w:r>
          </w:p>
        </w:tc>
        <w:tc>
          <w:tcPr>
            <w:tcW w:w="240" w:type="dxa"/>
            <w:vAlign w:val="bottom"/>
          </w:tcPr>
          <w:p>
            <w:pPr>
              <w:spacing w:after="0"/>
              <w:rPr>
                <w:sz w:val="20"/>
                <w:szCs w:val="20"/>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922,058</w:t>
            </w:r>
          </w:p>
        </w:tc>
        <w:tc>
          <w:tcPr>
            <w:tcW w:w="2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(915,767 )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-812800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-812800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-812800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-812800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(35,140 )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(37,730 )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the carrying amount of right-of-use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lease modification and termination</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of equipment,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(1,399 )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(773 )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(3,989 )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(610 )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(30,142 )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(29,232 )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Proceeds from the disposal of property and equipment</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(18,105 )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(8,333 )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(18,138 )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(46,934 )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(23,058 )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in right-of-use assets for modification and termination</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-2927985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-2294255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-1360805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-718820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-384810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-367665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Alaunos Therapeutics, Inc., which is referred to herein as “Alaunos,” or the “Company,” is a clinical-stage oncology-focused cell therapy company that was historically involved in the development of adoptive TCR therapies, designed to treat multiple solid tumor types in large cancer patient populations with unmet clinical needs. On January 25, 2022, the Company changed its corporate name from ZIOPHARM Oncology, Inc. to Alaunos Therapeutics, Inc. The Company was working to leverage its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and its novel cancer mutation hotspot TCR library to design and manufacture personalized cell therapies that target neoantigens arising from common tumor-related 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TP53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EGFR</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As of December 31, 2023, there were 16,012,522 shares of common stock outstanding and an additional 1,918,297 shares of common stock reserved for issuance pursuant to outstanding stock options and warrants.</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14, 2023, the Company announced a strategic reprioritization of its business and wind down of its TCR-T Library Phase 1/2 Trial. In connection with the reprioritization, the Company has significantly reduced its workforce and continues working to reduce costs in order to extend its cash runway. The Company continues to explore strategic alternatives, including, but not limited to, an acquisition, merger, reverse merger, sale of assets, strategic partnerships, capital raises or other transactions. The Company has engaged Cantor Fitzgerald &amp; Co., or Cantor, to act as strategic advisor for this process.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financial statements have been prepared on a going concern basis, which contemplates the realization of assets and satisfaction of liabilities and commitments in the normal course of business. The Company follows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its ability to continue as a going concern for one year after the date its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has operated at a loss since its inception in 2003 and has no recurring revenue from operations. The Company anticipates that losses will continue for the foreseeable future. As of December 31, 2023, the Company had approximately $6.1 million of cash and cash equivalents. The Company’s accumulated deficit at December 31, 2023 was approximately $915.8 million. Given its current development plans and cash management efforts, the Company anticipates cash resources will be sufficient to fund operations into the third quarter of 2024. The Company continues to explore strategic alternatives, including, but not limited to, an acquisition, merger, reverse merger, sale of assets, strategic partnerships, capital raises or other transactions. The Company’s ability to continue operations after its current cash resources are exhausted depends on future events, including its ability to obtain additional financing or to achieve profitable operations, as to which no assurances can be given, nor are within the Company's control. If adequate additional funds are not available when required, or if the Company is unsuccessful in entering into partnership agreements for further development of its product candidates, management may need to curtail its development efforts and planned operations to conserve cash until sufficient additional capital is raised. There can be no assurances that such a plan would be successful.</w:t>
      </w:r>
    </w:p>
    <w:p>
      <w:pPr>
        <w:spacing w:after="0" w:line="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financial statements, and substantial doubt as to the Company's ability to continue as a going concern exists. This forecast of cash resources is forward-looking information that involves risks and uncertainties, and the actual amount of expenses could vary materially and adversely as a result of a number of factors.</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Company has elected to make a reclassification in the presentation of the cash flow to show non-cash changes in right-of-use assets and lease liabilities related to modifications and terminations as non-cash for the year ended December 31, 2022 in order to conform presentation to the December 31, 2023 disclosures.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2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or the Loan and Security Agreement, with Silicon Valley Bank and affiliates of Silicon Valley Bank, or collectively, SVB. The Loan and Security Agreement provided for an initial term loan of $25.0 million funded at the closing, or the Term A Tranche, with an additional tranche of $25.0 million available if certain funding and clinical milestones were met by August 31, 2022, or the Term B Tranche.</w:t>
      </w:r>
    </w:p>
    <w:p>
      <w:pPr>
        <w:spacing w:after="0" w:line="7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color w:val="auto"/>
        </w:rPr>
        <w:t>Effective December 28, 2021, the Company, entered into an amendment to the Loan and Security Agreement, or the First Amendment. The First Amendment extended the interest-only period through August 31, 2022. The First Amendment also eliminated the Term B Tranche, which remained unfunded, leaving only the Term A Tranche, or the SVB Facility. Under the amended Loan and Security Agreement, the SVB Facility was to mature on August 1, 2023. On May 1, 2023, the Company repaid its outstanding debt obligations under the amended Loan and Security Agreement in their entirety.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First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12, 2022, the Company entered into an Equity Distribution Agreement, or the Equity Distribution Agreement, with Piper Sandler &amp; Co., or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 Distribution Agreement. During the years ended December 31, 2023 and 2022, there have been no sales of the Company's common stock under the Equity Distribution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On November 29, 2022, the Company entered into an underwriting agreement, or the Underwriting Agreement, with Cantor Fitzgerald &amp; Co., or the Underwriter, as the sole underwriter, relating to the issuance and sale in an underwritten offering, or the Offering, of 1,615,248 shares, or the Firm Shares, of the Company’s common stock to the Underwriter at a price of $9.2865 per share.</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net proceeds to the Company from the Offering were $14.7 million (before accounting for the partial exercise of the Underwriter's option as described below) after deducting underwriting discounts and commissions and offering expenses payable by the Company.</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 an option, exercisable for 30 days, to purchase up to an additional 242,287 shares of common stock, which we refer to, together with the Firm Shares, as the Shares, at the same price per share as the Firm Shares. On January 5, 2023, the Underwriter partially exercised its option to purchase 14,420 shares of common stock.</w:t>
      </w:r>
    </w:p>
    <w:p>
      <w:pPr>
        <w:spacing w:after="0" w:line="173"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or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 Although the Company regularly assesses these estimates, actual results could differ from those estimates. Changes in estimates are recorded in the period in which they become known.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most significant estimates and judgments used in the preparation of the financial statements are:</w:t>
      </w:r>
    </w:p>
    <w:p>
      <w:pPr>
        <w:spacing w:after="0" w:line="117" w:lineRule="exact"/>
        <w:rPr>
          <w:sz w:val="20"/>
          <w:szCs w:val="20"/>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and other research and development expenses;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of stock-based compensation; and</w:t>
      </w:r>
    </w:p>
    <w:p>
      <w:pPr>
        <w:sectPr>
          <w:pgSz w:w="11900" w:h="16838" w:orient="portrait"/>
          <w:cols w:equalWidth="0" w:num="1">
            <w:col w:w="11240"/>
          </w:cols>
          <w:pgMar w:left="320" w:top="98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primarily of demand deposit accounts, certificates of deposit and deposits in short-term U.S. treasury money market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stated at cost, which approximates fair market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The Company maintains cash accounts in commercial banks, which may, at times, exceed federally insured limits. The Company has not experienced any losses in such accounts. The Company believes it is not exposed to any significant credit risk on 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Expenditures for maintenance and repairs are charged to expense while the costs of significant improvements are capitalized. Depreciation and amortization is calculated on a straight-line basis using the following periods, which represent the estimated useful lives of the assets:</w:t>
      </w:r>
    </w:p>
    <w:p>
      <w:pPr>
        <w:spacing w:after="0" w:line="191" w:lineRule="exact"/>
        <w:rPr>
          <w:sz w:val="20"/>
          <w:szCs w:val="20"/>
          <w:color w:val="auto"/>
        </w:rPr>
      </w:pPr>
    </w:p>
    <w:p>
      <w:pPr>
        <w:ind w:left="2620"/>
        <w:spacing w:after="0"/>
        <w:tabs>
          <w:tab w:leader="none" w:pos="7040" w:val="left"/>
        </w:tabs>
        <w:rPr>
          <w:sz w:val="20"/>
          <w:szCs w:val="20"/>
          <w:color w:val="auto"/>
        </w:rPr>
      </w:pPr>
      <w:r>
        <w:rPr>
          <w:rFonts w:ascii="Times New Roman" w:cs="Times New Roman" w:eastAsia="Times New Roman" w:hAnsi="Times New Roman"/>
          <w:sz w:val="18"/>
          <w:szCs w:val="18"/>
          <w:color w:val="auto"/>
        </w:rPr>
        <w:t>Office and computer equipment</w:t>
      </w:r>
      <w:r>
        <w:rPr>
          <w:sz w:val="20"/>
          <w:szCs w:val="20"/>
          <w:color w:val="auto"/>
        </w:rPr>
        <w:tab/>
      </w: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ind w:left="2620"/>
        <w:spacing w:after="0"/>
        <w:tabs>
          <w:tab w:leader="none" w:pos="7040" w:val="left"/>
        </w:tabs>
        <w:rPr>
          <w:sz w:val="20"/>
          <w:szCs w:val="20"/>
          <w:color w:val="auto"/>
        </w:rPr>
      </w:pPr>
      <w:r>
        <w:rPr>
          <w:rFonts w:ascii="Times New Roman" w:cs="Times New Roman" w:eastAsia="Times New Roman" w:hAnsi="Times New Roman"/>
          <w:sz w:val="18"/>
          <w:szCs w:val="18"/>
          <w:color w:val="auto"/>
        </w:rPr>
        <w:t>Software</w:t>
      </w:r>
      <w:r>
        <w:rPr>
          <w:sz w:val="20"/>
          <w:szCs w:val="20"/>
          <w:color w:val="auto"/>
        </w:rPr>
        <w:tab/>
      </w: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ind w:left="2620"/>
        <w:spacing w:after="0"/>
        <w:tabs>
          <w:tab w:leader="none" w:pos="7040" w:val="left"/>
        </w:tabs>
        <w:rPr>
          <w:sz w:val="20"/>
          <w:szCs w:val="20"/>
          <w:color w:val="auto"/>
        </w:rPr>
      </w:pPr>
      <w:r>
        <w:rPr>
          <w:rFonts w:ascii="Times New Roman" w:cs="Times New Roman" w:eastAsia="Times New Roman" w:hAnsi="Times New Roman"/>
          <w:sz w:val="18"/>
          <w:szCs w:val="18"/>
          <w:color w:val="auto"/>
        </w:rPr>
        <w:t>Laboratory equipment</w:t>
      </w:r>
      <w:r>
        <w:rPr>
          <w:sz w:val="20"/>
          <w:szCs w:val="20"/>
          <w:color w:val="auto"/>
        </w:rPr>
        <w:tab/>
      </w:r>
      <w:r>
        <w:rPr>
          <w:rFonts w:ascii="Times New Roman" w:cs="Times New Roman" w:eastAsia="Times New Roman" w:hAnsi="Times New Roman"/>
          <w:sz w:val="18"/>
          <w:szCs w:val="18"/>
          <w:color w:val="auto"/>
        </w:rPr>
        <w:t>5 years</w:t>
      </w:r>
    </w:p>
    <w:p>
      <w:pPr>
        <w:spacing w:after="0" w:line="36" w:lineRule="exact"/>
        <w:rPr>
          <w:sz w:val="20"/>
          <w:szCs w:val="20"/>
          <w:color w:val="auto"/>
        </w:rPr>
      </w:pPr>
    </w:p>
    <w:p>
      <w:pPr>
        <w:ind w:left="2620"/>
        <w:spacing w:after="0"/>
        <w:tabs>
          <w:tab w:leader="none" w:pos="704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Life of the lease</w:t>
      </w:r>
    </w:p>
    <w:p>
      <w:pPr>
        <w:spacing w:after="0" w:line="2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including certain design, construction and installation costs related to assets that are under construction and are in the process of being readied for their intended use, are recorded as construction in progress and are not depreciated until such time as the subject asset is placed in service. Repairs and maintenance that do not extend the useful life of the asset are expensed as incurred. Upon sale, retirement or other disposition of these assets, the costs and related accumulated depreciation are removed from the respective accounts and any gain or loss on the disposition is included in the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Assessments of long-lived assets and the remaining useful lives of such long-lived assets are reviewed for impairment whenever a triggering event occurs or changes in circumstances indicate that the carrying amount of the assets may not be recoverable. An asset, or group of assets, is considered to be impaired when the undiscounted estimated net cash flows expected to be generated by the asset, or group of assets, are less than its carrying amount. The impairment recognized is the amount by which the carrying amount exceeds the fair market value of the impaired asset, or group of assets, based on the present value of the expected future cash flows associated with the use of the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Company’s chief operating decision maker, in making decisions regarding resource allocation and assessing performance. The Company views its operations and manages its business in one operating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 xml:space="preserve">The Company assesses whether warrants issued require accounting as derivatives. The Company determined that the warrants were (1) indexed to the Company’s own stock and (2) classified in stockholders’ equity in accordance with Financial Accounting Standards Board, or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warrants meet the scope exception for determining whether the instruments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as derivatives and should be classified in stockholders’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55" w:lineRule="exact"/>
        <w:rPr>
          <w:sz w:val="20"/>
          <w:szCs w:val="20"/>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ectPr>
          <w:pgSz w:w="11900" w:h="16838" w:orient="portrait"/>
          <w:cols w:equalWidth="0" w:num="1">
            <w:col w:w="11240"/>
          </w:cols>
          <w:pgMar w:left="320" w:top="986"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left="1260" w:right="180" w:hanging="503"/>
        <w:spacing w:after="0" w:line="265"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9" w:lineRule="exact"/>
        <w:rPr>
          <w:rFonts w:ascii="Times New Roman" w:cs="Times New Roman" w:eastAsia="Times New Roman" w:hAnsi="Times New Roman"/>
          <w:sz w:val="18"/>
          <w:szCs w:val="18"/>
          <w:color w:val="auto"/>
        </w:rPr>
      </w:pPr>
    </w:p>
    <w:p>
      <w:pPr>
        <w:ind w:left="1260" w:right="300" w:hanging="503"/>
        <w:spacing w:after="0" w:line="281"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December 31, 2023 and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8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8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-958215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-941070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-958215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-941070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-958215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-941070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 There have been no changes to the valuation methods during the years ended December 31, 2023 and 2022. The Company had no financial assets or liabilities that were classified as Level 2 or Level 3 during the years ended December 31, 2023 and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non-financial instruments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evaluates assets for impairment whenever events or changes in circumstances indicate that indicators of impairment exist. In those evaluations, the Company compares estimated future undiscounted cash flows generated by each asset (or asset group) to the carrying value of the asset (or asset group) to determine if an impairment charge is required. If the undiscounted cash flows test fails, the Company estimates the fair value of the asset (or asset group) to determine the impairment.</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Following the Company’s announced strategic reprioritization on August 14, 2023, the Company determined that changes in the intended use of certain property and equipment represented an indicator of impairment, resulting in an impairment charge of $4.8 million, which was primarily related to leasehold improvements of $3.8 million and lab equipment of $1.0 million.</w:t>
      </w:r>
    </w:p>
    <w:p>
      <w:pPr>
        <w:spacing w:after="0" w:line="6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In addition, the Company determined certain prepaid expense balances to be impaired given the Company’s strategic reprioritization, and therefore, has recorded an impairment charge of $0.2 million related to prepaid expenses and other current assets, which is recorded in research and development expenses within the statement of operations.</w:t>
      </w:r>
    </w:p>
    <w:p>
      <w:pPr>
        <w:spacing w:after="0" w:line="6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On November 9, 2023, the Company executed an agreement to sell laboratory equipment for gross proceeds of $1.5 million and recognized a gain on disposal of equipment of $3 thousand, which is recorded in other income in the statement of operations</w:t>
      </w:r>
      <w:r>
        <w:rPr>
          <w:rFonts w:ascii="Times New Roman" w:cs="Times New Roman" w:eastAsia="Times New Roman" w:hAnsi="Times New Roman"/>
          <w:sz w:val="18"/>
          <w:szCs w:val="18"/>
          <w:color w:val="FF0000"/>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Collaboration Agreements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Revenue for the year ended December 31, 2023 consisted of $5 thousand and for the year ended December 31, 2022 consisted of $2.9 million. For the years ended December 31, 2023 and 2022, the Company recognized revenue through its Collaboration Agreement with Solasia Pharma K.K. primarily due to the achievement of milestones, as further described in Note 9, </w:t>
      </w:r>
      <w:r>
        <w:rPr>
          <w:rFonts w:ascii="Times New Roman" w:cs="Times New Roman" w:eastAsia="Times New Roman" w:hAnsi="Times New Roman"/>
          <w:sz w:val="18"/>
          <w:szCs w:val="18"/>
          <w:i w:val="1"/>
          <w:iCs w:val="1"/>
          <w:color w:val="auto"/>
        </w:rPr>
        <w:t>Commitments and Contingencies.</w:t>
      </w:r>
    </w:p>
    <w:p>
      <w:pPr>
        <w:spacing w:after="0" w:line="6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The Company primarily generates revenue through collaboration arrangements with strategic partners for the development and commercialization of product candidates. The Company recognizes revenue in accordance with ASC 606, </w:t>
      </w:r>
      <w:r>
        <w:rPr>
          <w:rFonts w:ascii="Times New Roman" w:cs="Times New Roman" w:eastAsia="Times New Roman" w:hAnsi="Times New Roman"/>
          <w:sz w:val="18"/>
          <w:szCs w:val="18"/>
          <w:i w:val="1"/>
          <w:iCs w:val="1"/>
          <w:color w:val="auto"/>
        </w:rPr>
        <w:t>Revenue from Contracts with Customers, or</w:t>
      </w:r>
      <w:r>
        <w:rPr>
          <w:rFonts w:ascii="Times New Roman" w:cs="Times New Roman" w:eastAsia="Times New Roman" w:hAnsi="Times New Roman"/>
          <w:sz w:val="18"/>
          <w:szCs w:val="18"/>
          <w:color w:val="auto"/>
        </w:rPr>
        <w:t xml:space="preserve"> ASC 606. The core principle of ASC 606 is that an entity should recognize revenue to depict the transfer of promised goods and/or services to customers in an amount that reflects the consideration to which the entity expects to be entitled in exchange for those goods and/or services. To determine the appropriate amount of revenue to be recognized for arrangements that the Company determines are within the</w:t>
      </w:r>
    </w:p>
    <w:p>
      <w:pPr>
        <w:sectPr>
          <w:pgSz w:w="11900" w:h="16838" w:orient="portrait"/>
          <w:cols w:equalWidth="0" w:num="1">
            <w:col w:w="11240"/>
          </w:cols>
          <w:pgMar w:left="320" w:top="987"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scope of ASC 606, the Company performs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w:t>
      </w:r>
    </w:p>
    <w:p>
      <w:pPr>
        <w:spacing w:after="0" w:line="6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collaboration revenue under certain of the Company’s license or collaboration agreements that are within the scope of ASC 606. The Company’s contracts with customers typically include promises related to licenses to intellectual property, research and development services and options to purchase additional goods and/or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w:t>
      </w:r>
    </w:p>
    <w:p>
      <w:pPr>
        <w:spacing w:after="0" w:line="8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Contracts that include an option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terms of the Company’s arrangements with customers typically include the payment of one or more of the following:(i) non-refundable, up-front payment, (ii) development, regulatory and commercial milestone payments, (iii) future options and (iv) royalties on net sales of licensed products.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most likely amount method to estimate the amount of variable consideration, to predict the amount of consideration to which it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the Company evaluates whether the associated event is considered probable of achievement and estimates the amount to be included in the transaction price using the most likely amount method. Milestone payments that are not within the control of the Company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identified in the contract on a relative standalone selling price basis.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The Company develops assumptions that require the use of judgment to determine the standalone selling price for each performance obligation identified in each contract. The key assumptions utilized in determining the standalone selling price for each performance obligation may include forecasted revenue, development timelines, estimated research and development costs, discount rates, likelihood of exercise and probabilities of technical and regulatory success.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uses input methods to measure the progress toward the complete satisfaction of performance obligations satisfied over time.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financial statements, the Company is required to estimate its accrued research and development expenses. This process involves reviewing open contracts and purchase orders, communicating with its personnel and third-party vendors to identify services that have been performed on its behalf and estimating the level of service performed and the associated costs incurred for the services when the Company has not yet been invoiced or otherwise notified of the actual costs. The majority of the Company's service providers invoice the Company in arrears for services performed, on a predetermined schedule or when contractual milestones are met; however, a few require advanced payments. The Company makes estimates of its accrued expenses as of each balance sheet date in its financial statements based on facts and circumstances known to it at that time. Examples of estimated accrued research and development expenses include fees paid to:</w:t>
      </w:r>
    </w:p>
    <w:p>
      <w:pPr>
        <w:spacing w:after="0" w:line="79" w:lineRule="exact"/>
        <w:rPr>
          <w:sz w:val="20"/>
          <w:szCs w:val="20"/>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organizations, or CROs, in connection with performing research services on its behalf and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bases its expenses related to preclinical studies and clinical trials on its estimates of the services received and efforts expended pursuant to quotes and contracts with CROs that conduct and manage clinical trials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clinical expense. Payments under some of these contracts depend on factors such as the completion of clinical trial milestones. In accruing service fees, the Company estimates the time period over which services will be performed, enrollment of patients, number of sites activated and the level of effort to be expended in each period. If the actual timing of the performance of services or the level of effort varies from its estimate, the Company adjusts the accrual or amount of prepaid expense accordingly. Although the Company does not expect its estimates to be materially different from amounts actually incurred, its understanding of the status and timing of services performed relative to the actual status and timing of services performed may vary and may result in it reporting amounts that are too high or too low in any particular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The Company evaluates the realizability of its deferred tax assets and establishes a valuation allowance when it is more likely than not that all or a portion of deferred tax assets will not be realized.</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this tax position on an annual basis. The Company also accrues for potential interest and penalties related to unrecognized tax benefits in income tax expense (Refer to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recognized the full impact of its share-based employee payment plans in the statements of operations for each of the years ended December 31, 2023 and 2022 and did not capitalize any such costs on the balance sheets. The Company recognized $2.5 million of compensation expense related to stock options for the year ended December 31, 2023 and $3.0 million of compensation expense related to stock options for the year ended December 31, 2022. The Company recognized $0.3 million of compensation expense related to restricted stock for the year ended December 31, 2023 and $0.5 million for the year ended December 31, 2022 (refer to Note 13, </w:t>
      </w:r>
      <w:r>
        <w:rPr>
          <w:rFonts w:ascii="Times New Roman" w:cs="Times New Roman" w:eastAsia="Times New Roman" w:hAnsi="Times New Roman"/>
          <w:sz w:val="18"/>
          <w:szCs w:val="18"/>
          <w:i w:val="1"/>
          <w:iCs w:val="1"/>
          <w:color w:val="auto"/>
        </w:rPr>
        <w:t>Stock Option Plan</w:t>
      </w:r>
      <w:r>
        <w:rPr>
          <w:rFonts w:ascii="Times New Roman" w:cs="Times New Roman" w:eastAsia="Times New Roman" w:hAnsi="Times New Roman"/>
          <w:sz w:val="18"/>
          <w:szCs w:val="18"/>
          <w:color w:val="auto"/>
        </w:rPr>
        <w:t>). The total compensation expense relating to vesting of stock options and restricted stock awards for the year ended December 31, 2023 was $2.8 million</w:t>
      </w:r>
    </w:p>
    <w:p>
      <w:pPr>
        <w:sectPr>
          <w:pgSz w:w="11900" w:h="16838" w:orient="portrait"/>
          <w:cols w:equalWidth="0" w:num="1">
            <w:col w:w="11160"/>
          </w:cols>
          <w:pgMar w:left="320" w:top="987" w:right="419" w:bottom="1440" w:gutter="0" w:footer="0" w:header="0"/>
        </w:sectPr>
      </w:pP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7" w:right="41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and $3.5 million for the year ended December 31, 2022. The following table presents share-based compensation expense included in the Company’s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FF0FC"/>
          </w:tcPr>
          <w:p>
            <w:pPr>
              <w:spacing w:after="0"/>
              <w:rPr>
                <w:sz w:val="20"/>
                <w:szCs w:val="20"/>
                <w:color w:val="auto"/>
              </w:rPr>
            </w:pP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20"/>
                <w:szCs w:val="20"/>
                <w:color w:val="auto"/>
              </w:rPr>
            </w:pP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is estimated at the date of grant using the Black-Scholes option pricing model. The estimated weighted-average fair value of stock options granted to employees in the year ended December 31, 2023 was approximately $5.58 per share and was approximately $11.54 per share for the year ended December 31, 2022. Assumptions regarding volatility, expected term, dividend yield and risk-free interest rate are required for the Black-Scholes model. The volatility assumption is based on the Company’s historical experience. The risk-free interest rate is based on a U.S. treasury note with a maturity similar to the option award’s expected life. The expected life represents the average period of time that options granted are expected to be outstanding. The Company calculated expected term using the simplified method described in SEC Staff Accounting Bulletin, or SAB, No. 107 and No.</w:t>
      </w:r>
    </w:p>
    <w:p>
      <w:pPr>
        <w:spacing w:after="0" w:line="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110 as it continues to meet the requirements promulgated in SAB No. 110. The assumptions for volatility, expected life, dividend yield and risk-free interest rate are presented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spacing w:after="0"/>
              <w:rPr>
                <w:sz w:val="14"/>
                <w:szCs w:val="14"/>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8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 – 4.01%</w:t>
            </w:r>
          </w:p>
        </w:tc>
        <w:tc>
          <w:tcPr>
            <w:tcW w:w="18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4.21%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 6.25</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 6.25</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 – 112.12%</w:t>
            </w: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88.75%</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31, 2024, the Company filed a Second Amended and Restated Certificate of Incorporation (the “Charter Amendment”) with the Secretary of State of the State of Delaware in order to effect a reverse stock split of the Company’s common stock at a ratio of 1-for-15 (the “Reverse Split”). The Charter Amendment decreased the number of authorized shares of common stock from 520,000,000 to 34,666,667. The Charter Amendment does not affect the par value of the Company’s common stock or change the number of authorized shares or par value of the Company’s preferred stock. The Charter Amendment became effective on January 31, 2024 at 5:00 p.m. Eastern Time, at which time every 15 shares of the Company’s issued and outstanding common stock automatically combined and converted into 1 share of common stock.</w:t>
      </w:r>
    </w:p>
    <w:p>
      <w:pPr>
        <w:spacing w:after="0" w:line="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Split. Stockholders of record who would otherwise have been entitled to receive fractional shares as a result of the Reverse Split received a cash payment in lieu thereof at a price equal to the fraction to which the stockholder would otherwise be entitled multiplied by the closing sales price per share of the common stock (as adjusted for the Reverse Split) on The Nasdaq Capital Market on January 31, 2024.</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All share and per share amounts of common stock, options, warrants, and restricted stock in the accompanying financial statements and notes thereto have been retroactively adjusted for all periods presented to reflect the Reverse Split as if it had occurred at the beginning of the earliest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consists of the following: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7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(35,140 )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(37,730 )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15,995,323</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14,475,354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Certain shares related to some of the Company’s outstanding common stock options, unvested restricted stock and warrants have not been included in the computation of diluted net loss per share for the years ended December 31, 2023 and 2022 as the result would be antidilutive. Such potential common shares on December 31, 2023 and 2022 consist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465,898</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693,909</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62,604</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1,452,399</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1,918,297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2,284,669</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June 2016, the FASB issued Accounting Standards Update, or ASU, 2016-13, Financial Instruments: Credit Losses (Topic 326) as clarified in ASU 2019-04, ASU 2019-05 and ASU 2020-02. The objective of this standard is to provide information about expected credit losses on financial instruments at each reporting date and to change how other-than-temporary impairments on investment securities are recorded. The Company adopted ASU 2016-13 effective January 1, 2023, with no material impact upon adoption.</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the disclosures required for operating segments in the Company's annual and interim financial statements. ASU 2023-07 is effective retrospectively for fiscal years beginning after December 15, 2023 and for interim periods within fiscal years beginning after December 15, 2024. Early adoption is permitted. The Company is currently evaluating the impact of this standard.</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and decision usefulness of income tax disclosures. The amendments in ASU 2023-09 provide for enhanced income tax information primarily through changes to the rate reconciliation and income taxes paid information. ASU 2023-09 is effective for the Company prospectively to all annual periods beginning after December 15, 2024. Early adoption is permitted. The Company is currently evaluating the impact of this standard.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There were no debt obligations outstanding at December 31, 2023. The carrying values of the Company's debt obligation at December 31, 2022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(630 )</w:t>
            </w:r>
          </w:p>
        </w:tc>
      </w:tr>
      <w:tr>
        <w:trPr>
          <w:trHeight w:val="240"/>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long-term debt, current</w:t>
            </w:r>
          </w:p>
        </w:tc>
        <w:tc>
          <w:tcPr>
            <w:tcW w:w="3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(16,765 )</w:t>
            </w:r>
          </w:p>
        </w:tc>
      </w:tr>
      <w:tr>
        <w:trPr>
          <w:trHeight w:val="28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On August 6, 2021, the Company entered into the Loan and Security Agreement with SVB. The Loan and Security Agreement provided for the funding of the Term A Tranche at the closing, with the Term B Tranche available if certain funding and clinical milestones were met by August 31, 2022. The SVB Facility and related obligations under the Loan and Security Agreement were secured by substantially all of the Company's</w:t>
      </w:r>
    </w:p>
    <w:p>
      <w:pPr>
        <w:sectPr>
          <w:pgSz w:w="11900" w:h="16838" w:orient="portrait"/>
          <w:cols w:equalWidth="0" w:num="1">
            <w:col w:w="11240"/>
          </w:cols>
          <w:pgMar w:left="320" w:top="987"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properties, rights and assets, except for its intellectual property (which was subject to a negative pledge under the Loan and Security Agreement). In addition, the Loan and Security Agreement contained customary representations, warranties, events of default and covenants.</w:t>
      </w:r>
    </w:p>
    <w:p>
      <w:pPr>
        <w:spacing w:after="0" w:line="5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On December 28, 2021, the Company entered into the First Amendment to the Loan and Security Agreement. The First Amendment eliminated the unfunded Term B Tranche, among other things. The SVB Facility bore interest at a floating rate per annum on outstanding loans, payable monthly, at the greater of (a) 7.75% and (b) the current published U.S. prime rate, plus a margin of 4.5%.</w:t>
      </w:r>
    </w:p>
    <w:p>
      <w:pPr>
        <w:spacing w:after="0" w:line="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were due and payable on August 1, 2023. In connection with the payment of all of the Company's outstanding obligations, the Company also owed SVB 5.75% of the original principal amounts borrowed as a final payment, or the Final Payment. Effective March 30, 2023, the Company entered into a Third Amendment to the Loan and Security Agreement, or the Third Amendment. Under the terms of the Third Amendment, the Company was no longer required to maintain all of its operating accounts, depository accounts and excess cash with SVB or one of its affiliates, and was instead only required to maintain a single operating or depository account at Silicon Valley Bank. The Third Amendment also modified the cash collateralization requirement, such that the Company was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8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May 1, 2023, the Company paid SVB an amount equal to the entire outstanding principal amount under the SVB Facility, all accrued and unpaid interest and the Final Payment. In accordance with the First Amendment, the payment was subject to a prepayment premium of 2.00%. During the year ended December 31, 2023, the Company recorded the remaining amounts associated with the Final Payment of $0.5 million and the prepayment premium of $0.1 million as interest expense within the statement of operations.</w:t>
      </w:r>
    </w:p>
    <w:p>
      <w:pPr>
        <w:spacing w:after="0" w:line="7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in August 2021, the Company issued to SVB warrants to purchase (i) up to 28,856 shares of the Company’s common stock, in the aggregate, and (ii) up to an additional 28,856 shares of common stock, in the aggregate, in the event the Company achieved certain clinical milestones, in each case at an exercise price per share of $33.30.</w:t>
      </w:r>
    </w:p>
    <w:p>
      <w:pPr>
        <w:spacing w:after="0" w:line="6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First Amendment in December 2021, the Company amended and restated the warrants issued to SVB. As amended and restated, the warrants are for up to 43,308 shares of the Company's common stock, in the aggregate, with an exercise price of $17.40 per share, or the SVB Warrants. The SVB Warrants expire on August 6, 2031.</w:t>
      </w:r>
    </w:p>
    <w:p>
      <w:pPr>
        <w:spacing w:after="0" w:line="69"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First Amendment, were approximately $1.2 million and primarily related to the SVB Warrants, which were amortized into interest expense over the term of the loan. Interest expense, including the amortization of issuance costs, was $1.9 million for the year ended December 31, 2023 and $3.2 million for the year ended December 31, 2022.</w:t>
      </w:r>
    </w:p>
    <w:p>
      <w:pPr>
        <w:spacing w:after="0" w:line="173"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21"/>
                <w:szCs w:val="21"/>
                <w:color w:val="auto"/>
              </w:rPr>
            </w:pPr>
          </w:p>
        </w:tc>
      </w:tr>
      <w:tr>
        <w:trPr>
          <w:trHeight w:val="236"/>
        </w:trPr>
        <w:tc>
          <w:tcPr>
            <w:tcW w:w="76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shd w:val="clear" w:color="auto" w:fill="CFF0FC"/>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(13 )</w:t>
            </w:r>
          </w:p>
        </w:tc>
        <w:tc>
          <w:tcPr>
            <w:tcW w:w="4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(9,807 )</w:t>
            </w: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 xml:space="preserve">Depreciation expense for the year ended December 31, 2023 was $2.3 million and was $2.8 million for the year ended December 31, 2022. During the year ended December 31, 2023, the Company impaired property and equipment by $4.8 million.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details.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28"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141605</wp:posOffset>
            </wp:positionV>
            <wp:extent cx="102235" cy="1536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141605</wp:posOffset>
            </wp:positionV>
            <wp:extent cx="93980" cy="1536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services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services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consulting services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or TriArm, launched Eden BioCell, Ltd., or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in the People’s Republic of China (including Macau and Hong Kong), Taiwan and Korea. The Company licensed to Eden BioCell the rights in Greater China for its third-generation Sleeping Beauty-generated CAR-T therapies targeting the CD19 antigen. Eden BioCell is owned equally by the Company and TriArm and the parties share decision-making authority. TriArm contributed $10.0 million to Eden BioCell and has committed up to an additional $25.0 million to this joint venture. TriArm also managed all clinical development in the territory pursuant to a master services agreement between TriArm and Eden BioCell. James Huang was the founder and serves as managing partner of Panacea Venture, which is an investor in TriArm. Mr. Huang was the Chair of the Company's board of directors until September 22, 2023 and had been a director since July 2020. He also serves as a member of Eden BioCell’s board of directors.</w:t>
      </w:r>
    </w:p>
    <w:p>
      <w:pPr>
        <w:spacing w:after="0" w:line="8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 xml:space="preserve">In September 2021, TriArm and Alaunos mutually agreed to dissolve the Eden BioCell joint venture. The joint venture agreement has been terminated and the Eden BioCell entity has been dissolved as of July 2023. Refer to Note 15,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Dune Lake Capital</w:t>
      </w:r>
    </w:p>
    <w:p>
      <w:pPr>
        <w:spacing w:after="0" w:line="119"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In January 2023, the Company entered into a consulting agreement with Dune Lake Capital, LLC, or Dune Lake Capital, which was founded by Dale Curtis Hogue, Jr., the Company's interim Chief Executive Officer. During the year ended December 31, 2023, the Company recorded expenses of approximately $37 thousand for consulting services performed by Dune Lake Capital with respect to the period from January 2023 to August 2023.</w:t>
      </w:r>
    </w:p>
    <w:p>
      <w:pPr>
        <w:spacing w:after="0" w:line="15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In April 2022, the Company modified its real estate lease agreement executed on December 15, 2020 with MD Anderson for office space in Houston, Texas, which reduced the Company's leased space from 18,111 square feet to 3,228 square feet. As a result, the associated lease liability and right-of-use asset were remeasured to $0.4 million based on revised lease payments. A gain of $0.1 million was recorded on the lease modification during the year ended December 31, 2022.</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June 2022, the Company executed an agreement to sub-sublease 4,772 square feet of subleased office space in Boston. For the year ended December 31, 2023, the Company recognized $43 thousand in lease income, and for the year ended December 31, 2022, the Company recognized $0.1 million in lease income. Lease income is classified within other income on the statement of operations.</w:t>
      </w:r>
    </w:p>
    <w:p>
      <w:pPr>
        <w:spacing w:after="0" w:line="6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April 19, 2023, the Company terminated its office lease in Boston, Massachusetts, which was set to expire on August 31, 2026. In connection with the termination, the Company also assigned to the landlord its sub-sublease of the Boston office space, which had a term expiring on June 30, 2025 with an option to extend through July 31, 2026. Termination costs for the Boston office lease were $0.2 million. A gain of $0.2 million was recorded on the lease termination during the year ended December 31, 2023.</w:t>
      </w:r>
    </w:p>
    <w:p>
      <w:pPr>
        <w:spacing w:after="0" w:line="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August 2023, in accordance with the lease agreement executed on December 15, 2020, the Company notified MD Anderson, as landlord, of its intention to terminate office space of 3,228 square feet in Houston, Texas. As a result, the associated lease liability and right-of-use asset were remeasured to $19 thousand, reflecting the revised lease payments and term end date of November 2023.</w:t>
      </w:r>
    </w:p>
    <w:p>
      <w:pPr>
        <w:sectPr>
          <w:pgSz w:w="11900" w:h="16838" w:orient="portrait"/>
          <w:cols w:equalWidth="0" w:num="1">
            <w:col w:w="11240"/>
          </w:cols>
          <w:pgMar w:left="320" w:top="987" w:right="33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On November 1, 2023, the Company and MD Anderson, as landlord, agreed to mutually terminate the leases dated October 15, 2019 and April 7, 2020, which represented office space totaling 14,037 square feet, effective November 15, 2023. As a result, the Company agreed to make a final payment of $0.1 million to the landlord. A gain of $0.1 million was recorded on the lease termination during the year ended December 31,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9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-490855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paid $0.4 million in operating lease costs for the year-ended December 31, 2023. The Company did not recognize new operating lease assets obtained in exchange for operating lease liabilities for the year-ended December 31, 2023. The Company did not have any leases, other than a short-term lease, as of December 31, 2023.</w:t>
      </w:r>
    </w:p>
    <w:p>
      <w:pPr>
        <w:spacing w:after="0" w:line="173"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Precigen</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October 5, 2018, the Company entered into an exclusive license agreement, or License Agreement, with PGEN Therapeutics, or PGEN, a wholly owned subsidiary of Precigen Inc., or Precigen, which was formerly known as Intrexon Corporation. Except where the context otherwise requires, the Company refers to PGEN and Precigen together as Precigen. Pursuant to the terms of the License Agreement, the Company had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Under the License Agreement, the Company also had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was responsible for all aspects of the research, development and commercialization and was required to use commercially reasonable efforts to develop certain products.</w:t>
      </w:r>
    </w:p>
    <w:p>
      <w:pPr>
        <w:spacing w:after="0" w:line="5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Precigen, the Company was required to pay Precigen an annual license fee of $0.1 million, reimburse Precigen for certain historical costs, pay Precigen milestones up to an additional $52.5 million for each exclusively licensed program upon the achievement of certain milestones, and pay Precigen tiered royalties up to a maximum royalty amount of $100.0 million in the aggregate. The Company was also obligated to pay Precigen 20% of any sublicensing income received relating to the licensed products. The Company was responsible for all development costs associated with each of the licensed products. For the years ended December 31, 2023 and 2022, the Company paid $0.1 million in annual license fees under this agreement.</w:t>
      </w:r>
    </w:p>
    <w:p>
      <w:pPr>
        <w:spacing w:after="0" w:line="7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Precigen was obligated to pay the Company royalties up to a maximum royalty amount of $100.0 million. No royalty amounts were incurred during the years ended December 31, 2023 and 2022.</w:t>
      </w:r>
    </w:p>
    <w:p>
      <w:pPr>
        <w:spacing w:after="0" w:line="5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 xml:space="preserve">On April 3, 2023, the Company entered into the Amended and Restated Exclusive License Agreement with Precigen, or the A&amp;R License Agreement, which restated and amended the License Agreement in full. Under the A&amp;R License Agreement, the Company still has exclusive, worldwide rights to research, develop and commercialize TCR products designed for neoantigens or driver mutations for the treatment of cancer and non-exclusive rights to use non-driver mutation TCRs. The Company further maintains its exclusive, worldwide rights for certain patents relating to the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technology to research, develop and commercialize TCR products for both neoantigens and shared antigens for the treatment of cancer, referred to as TCR Products.</w:t>
      </w:r>
    </w:p>
    <w:p>
      <w:pPr>
        <w:spacing w:after="0" w:line="63"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The Company remains solely responsible for all aspects of the research, development and commercialization of the exclusively licensed products for the treatment of cancer. The (i) products utilizing Precigen’s RheoSwitch® gene switch, or RTS, for the treatment of cancer, referred to as IL-12 Products and</w:t>
      </w:r>
    </w:p>
    <w:p>
      <w:pPr>
        <w:ind w:right="360" w:firstLine="8"/>
        <w:spacing w:after="0" w:line="260"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 products directed to (A) CD19 for the treatment of cancer, referred to as CD19 Products, and (B) BCMA for the treatment of cancer, subject to certain obligations to pursue such target under the License and Collaboration Agreement</w:t>
      </w:r>
    </w:p>
    <w:p>
      <w:pPr>
        <w:sectPr>
          <w:pgSz w:w="11900" w:h="16838" w:orient="portrait"/>
          <w:cols w:equalWidth="0" w:num="1">
            <w:col w:w="11300"/>
          </w:cols>
          <w:pgMar w:left="320" w:top="987" w:right="279" w:bottom="1440" w:gutter="0" w:footer="0" w:header="0"/>
        </w:sectPr>
      </w:pP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7" w:right="2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March 27, 2015 between the Company, Precigen and ARES TRADING S.A., a subsidiary of Merck KGaA, as assigned by Precigen to PGEN are no longer exclusively licensed to the Company. The Company is no longer obligated to use commercially reasonable efforts for the exclusively licensed products. The A&amp;R License Agreement further eliminates any royalty or milestone obligations to Precigen, with an annual license fee of $75 thousand due on the anniversary of the A&amp;R License Agreement effective date. Precigen is no longer obligated to pay the Company royalties on the net sales derived from the sale of Precigen's CAR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spacing w:after="0" w:line="7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Research and Development Agreement, or the 2019 R&amp;D Agreement, which the Company entered into on October 22, 2019, with MD Anderson, pursuant to which the Company agreed to collaborate with respect to the TCR program. For the year ended December 31, 2023 the Company incurred clinical expenses of $0.1 million from MD Anderson related to the 2015 R&amp;D Agreement, and did not incur clinical costs from MD Anderson related to the 2015 R&amp;D Agreement for the year ended December 31, 2022.</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Precigen, and MD Anderson.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1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Under the 2019 R&amp;D Agreement, the Company and MD Anderson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all intellectual property, patentable or not,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to develop and commercialize autologous TCR products manufactured using viral gene transfer technologies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products outside the field of oncology and a non-exclusive license for allogenic TCR products manufactured using viral-based technologies.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years ended December 31, 2023 and 2022, the Company incurred clinical expenses of $0.8 million from MD Anderson related to the 2019 R&amp;D Agreement.</w:t>
      </w:r>
    </w:p>
    <w:p>
      <w:pPr>
        <w:spacing w:after="0" w:line="78"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the Company issued MD Anderson a warrant to purchase 222,222 shares of the Company's common stock, which is referred to as the MD Anderson Warrant. The MD Anderson Warrant has an initial exercise price of $0.015 per share, expires on December 31, 2026, and vests upon the occurrence of certain clinical milestones. As of December 31, 2023, the milestones have not been met.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NCI. Pursuant to the Patent License, the Company held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the Company held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terms of the Patent License required the Company to pay the NCI minimum annual royalties in the amount of $0.3 million, which amount would be reduced to $0.1 million once the aggregate minimum annual royalties paid by the Company equaled $1.5 million.</w:t>
      </w:r>
    </w:p>
    <w:p>
      <w:pPr>
        <w:spacing w:after="0" w:line="5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was also required to make performance-based payments upon successful completion of clinical and regulatory benchmarks relating to the licensed products. Of such payments, the aggregate potential benchmark payments were $4.3 million, of which aggregate payments of $3.0 million would be due only after marketing approval in the United States or in Europe, Japan, Australia, China or India. The first benchmark payment of $0.1 million was paid during the year ended December 31, 2022 upon the initiation of the Company's TCR-T Library Phase 1/2 Trial, which was a qualifying Phase 1 clinical trial under the terms of the Patent License.</w:t>
      </w:r>
    </w:p>
    <w:p>
      <w:pPr>
        <w:spacing w:after="0" w:line="7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addition, the Company was required to pay the NCI one-time benchmark payments following aggregate net sales of licensed products at certain aggregate net sales ranging from $250.0 million to $1.0 billion. The aggregate potential amount of these benchmark payments was $12.0 million. The Company was also required to pay the NCI royalties on net sales of products covered by the Patent License at rates in the low to mid-single digits depending upon the technology included in a licensed product. To the extent the Company entered into a sublicensing agreement relating to a licensed product, the Company would be required to pay the NCI a percentage of all consideration received from a sublicensee, which percentage would decrease based on the stage of development of the licensed product at the time of the sublicense.</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Patent License was to expire upon expiration of the last patent contained in the licensed patent rights, unless terminated earlier. The NCI could terminate or modify the Patent License in the event of a material breach, including if the Company did not meet certain milestones by certain dates, or upon certain insolvency events that remain uncured following the date that is 90 days following written notice of such breach or insolvency event. The Company could terminate the Patent License, or any portion thereof, in the Company's sole discretion at any time upon 60 days’ written notice to the NCI. In addition, the NCI had the right to: (i) require the Company to sublicense the rights to the product candidates covered by the Patent License upon certain conditions, including if the Company was not reasonably satisfying required health and safety needs and (ii) terminate or modify the Patent License, including if the Company was not satisfying requirements for public use as specified by federal regulations. On October 27, 2023, the Company provided the NCI the requisite notice of its intent to terminate the Patent</w:t>
      </w:r>
    </w:p>
    <w:p>
      <w:pPr>
        <w:sectPr>
          <w:pgSz w:w="11900" w:h="16838" w:orient="portrait"/>
          <w:cols w:equalWidth="0" w:num="1">
            <w:col w:w="11240"/>
          </w:cols>
          <w:pgMar w:left="320" w:top="987" w:right="33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 xml:space="preserve">License, effective December 26, 2023. The Company discovered multiple proprietary TCRs targeting driver mutations through its hunTR TCR discovery platform, including many of the same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mutations licensed from the NCI.</w:t>
      </w:r>
    </w:p>
    <w:p>
      <w:pPr>
        <w:spacing w:after="0" w:line="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the Company incurred $0.4 million of expenses and incurred $0.7 million of expenses for the year ended December 31,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or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was under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was responsible for providing the NCI with the test materials necessary for them to conduct their studies, and eventually, clinical trials pursuant to the CRADA. Inventions, data and materials discovered or produced in connection with performance of the research plan under the CRADA would have remained the sole property of the party who produced the discovery. The parties would have jointly owned all inventions jointly discovered under the research plan. The owner of any invention under the CRADA would have made the decision to file a patent covering the invention, or in the case of a jointly owned invention, the Company would have the first opportunity to file a patent covering the invention. If the Company failed to provide timely notice of its decision to the NCI or decided not to file a patent covering the joint invention, the NCI had the right to make the filing. For any invention solely owned by the NCI or jointly made by the NCI and the Company for which a patent application was filed, the U.S. Public Health service granted the Company an exclusive option to elect an exclusive or non-exclusive commercialization license. For inventions owned solely by the NCI or jointly owned by the NCI and the Company, which were licensed according to the terms described above, the Company agreed to grant to the U.S. government a non-exclusive, non-transferable, irrevocable and paid up license to practice the invention or have the invention practiced on its behalf throughout the world. The Company was also required to grant the U.S. government a non-exclusive, non-transferable, irrevocable and paid up license to practice the invention or have the invention practiced on its behalf throughout the world for any of the Company's solely owned inventions. The agreement could be terminated by any of the parties upon 60 days' prior written consent.</w:t>
      </w:r>
    </w:p>
    <w:p>
      <w:pPr>
        <w:spacing w:after="0" w:line="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however, for the third and fourth quarters of 2021, the Company was not required to make payments toward the program as agreed with the NCI. In March 2022, the Company entered into an amendment to the CRADA that is retroactive, effective January 9, 2022 to extend the term of the CRADA until January 9, 2023. In June 2022, the Company entered into the Fourth Amendment to the CRADA, or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recorded expenses of $0.5 million for the year ended December 31, 2023, compared to $0 for the year ended December 31, 2022.</w:t>
      </w:r>
    </w:p>
    <w:p>
      <w:pPr>
        <w:spacing w:after="0" w:line="7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On August 14, 2023, the Company announced that it had provided the requisite notice to terminate the CRADA, pursuant to its terms, effective October 13, 2023, in light of the Company’s exploration of strategic alternatives.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year ended December 31, 2023, the Company did not incur any milestone expenses under this agreement, and the Company incurred $1 thousand in royalty expenses on sales under this agreement during the year ended December 31, 2023. During the year ended December 31, 2022, $2.5 million was incurred as a one-time milestone payment under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terms of the agreement, and the Company incurred $2 thousand in royalty expenses on sales under this agreement during the year ended December 31,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or Solasia, which was amended on July 31, 2014 to include an exclusive worldwide license and amended on October 14,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2022, Solasia announced that darinaparsin had been approved from relapsed or refractory Peripheral T-Cell Lymphoma by the Ministry of Health, Labor and Welfare in Japan. During the year ended December 31, 2023, the Company did not earn collaboration revenue and earned $5 thousand in royalty revenues on net sales under the Solasia License and Collaboration Agreement. During the year ended December 31, 2022, the Company earned $2.9 million of collaboration revenue under the Solasia License and Collaboration Agreement primarily related to Solasia's achievement of certain sales-based milestones in Japan, and did not earn royalty revenues on net sales under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KBI Biopharma Litigation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17, 2023, KBI Biopharma, Inc., or KBI, filed a complaint against the Company in the District Court of Harris County, Texas, 165th Judicial District, asserting breach of an Amended and Restated Master Services Agreement between the Company and KBI relating to the development of an autologous gene modified T-cell therapy product, or the KBI Agreement. KBI was primarily seeking unspecified monetary damages in excess of $3.2 million. On May 1, 2023, the Company filed an answer generally denying all of KBI’s allegations and asserting affirmative and other defenses as well as counterclaims for breach of the KBI Agreement and conversion. On October 20, 2023, the Company entered into an agreement with KBI to settle all claims asserted by KBI against the Company and the Company's counterclaims against KBI at issue in the litigation for $1.0 million.</w:t>
      </w:r>
    </w:p>
    <w:p>
      <w:pPr>
        <w:spacing w:after="0" w:line="182"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that provided net proceeds of approximately $47.1 million, the Company issued warrants to purchase an aggregate of 1,262,626 shares of common stock, which became exercisable six months after the closing of the private placement, or the November 2018 Warrants. The November 2018 Warrants had an exercise price of $45.15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74"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1,186,869 shares of common stock, at an exercise price of $45.15 per share. Proceeds from the warrant exercise after deducting placement agent fees and other related expenses of $1.1 million were approximately $52.5 million.</w:t>
      </w:r>
    </w:p>
    <w:p>
      <w:pPr>
        <w:spacing w:after="0" w:line="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1,186,869 additional shares of common stock (the "2019 Warrants") as consideration for the warrant holders to exercise their November 2018 Warrants. The 2019 Warrants will expire on the fifth anniversary of the initial exercise date and have an exercise price of $105.00. The 2019 Warrants were valued using a Black-Scholes valuation model and resulted in a $60.8 million non-cash charge in the Company’s statement of operations in 2019.</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222,222 shares of common stock. The MD Anderson Warrant has an initial exercise price of $0.015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years ended December 31, 2023 and 2022, the Company did not recognize any expense related to the MD Anderson Warrant as the clinical milestones have not been achieved.</w:t>
      </w:r>
    </w:p>
    <w:p>
      <w:pPr>
        <w:sectPr>
          <w:pgSz w:w="11900" w:h="16838" w:orient="portrait"/>
          <w:cols w:equalWidth="0" w:num="1">
            <w:col w:w="11240"/>
          </w:cols>
          <w:pgMar w:left="320" w:top="987"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Loan and Security Agreement, the Company issued SVB warrants to purchase 28,856 shares of common stock with an exercise price of $33.30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First Amendment, as described in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which, the original warrants issued to SVB were amended and restated. As amended and restated, the SVB Warrants are for up to 43,308 shares of common stock, in the aggregate, with an exercise price of $17.40 per share. The SVB Warrants expire on August 6, 2031 and were fully vested upon issuance. As of December 31, 2023, none of the SVB Warrants have been exercised.</w:t>
      </w:r>
    </w:p>
    <w:p>
      <w:pPr>
        <w:spacing w:after="0" w:line="18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14, 2023, the Company announced a strategic reprioritization of its business and wind down of its TCR-T Library Phase 1/2 Trial. In connection with the reprioritization, the Company reduced its workforce during the third and fourth quarters of 2023. Concurrently, the Company began considering certain strategic alternatives, including, but not limited to, an acquisition, merger, reverse merger, sale of assets, strategic partnerships, capital raises or other transactions. During the year ended December 31, 2023, the Company recorded termination benefits of $1.3 million, recorded in restructuring costs within the statement of operations. The termination benefits were fully paid as of December 31, 2023.</w:t>
      </w:r>
    </w:p>
    <w:p>
      <w:pPr>
        <w:spacing w:after="0" w:line="178"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since inception. The reported amounts of income tax expense for the years ended December 31, 2023 and 2022 differ from the amounts that would result from applying domestic federal statutory tax rates to pretax losses primarily because of the changes in the valuation allowance. Significant components of the Company’s deferred tax assets at December 31, 2023 and 2022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148,009</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Start-up and pre-clinical studies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acquisition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211,031</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237,308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(211,031 )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(236,827 )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At December 31, 2023, the Company has aggregate net operating loss carryforwards for federal tax purposes of approximately $704.9 million, of which approximately $341.7 million expire at various dates through December 31, 2037 and approximately $363.2 million can be carried forward indefinitely. The Company is reducing its approximately $497.9 million of state net operating loss carryforwards to $0 as these state net operating loss carryforwards all related to Massachusetts filings and, as of December 31, 2023 the Company no longer had any employees or property in Massachusetts and, as a result, the Company will no longer have income tax nexus in Massachusetts or an income tax filing obligation after the year ended December 31, 2023. Additionally, the Company has approximately $39.8 million of federal and state research and development credits at December 31, 2023, expiring in varying amounts through 2043, which may be available to reduce future taxes. The Company has reduced its Massachusetts credits carryforward to $0.</w:t>
      </w:r>
    </w:p>
    <w:p>
      <w:pPr>
        <w:sectPr>
          <w:pgSz w:w="11900" w:h="16838" w:orient="portrait"/>
          <w:cols w:equalWidth="0" w:num="1">
            <w:col w:w="11240"/>
          </w:cols>
          <w:pgMar w:left="320" w:top="987"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has provided a valuation allowance for the full amount of its net deferred tax assets since it is more likely than not that these future benefits will not be realized. However, these deferred tax assets may be available to offset future income tax liabilities and expenses. The valuation allowance decreased by $25.8 million in 2023 due primarily to the reduction of Massachusetts net operating loss carryforwards and Massachusetts research and development credits.</w:t>
      </w:r>
    </w:p>
    <w:p>
      <w:pPr>
        <w:spacing w:after="0" w:line="7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Income taxes using the federal statutory income tax rate differ from the Company’s effective tax rate primarily due to non-deductible expenses related to the Company’s issuance of warrants along with the change in the valuation allowance on deferred tax assets.</w:t>
      </w:r>
    </w:p>
    <w:p>
      <w:pPr>
        <w:spacing w:after="0" w:line="5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A reconciliation of income tax expense (benefit) at the statutory federal income tax rate and income taxes as reflected in the financial statements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68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at statutory rates</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tax benefit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true-up</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Federal/state rate change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660" w:type="dxa"/>
            <w:vAlign w:val="bottom"/>
            <w:vMerge w:val="continue"/>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ASC 740,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on January 1, 2007. ASC 740 clarifies the accounting for uncertainty in income taxes recognized in an enterprise’s financial statements in accordance with FASB Statement No. 109, “Accounting for Income Taxes.” ASC 740 prescribes a recognition threshold and measurement of a tax position taken or expected to be taken in a tax return. The Company did not establish any additional reserves for uncertain tax liabilities upon adoption of ASC 740. There were no adjustments to its uncertain tax positions in the years ended December 31, 2023 and 2022.</w:t>
      </w:r>
    </w:p>
    <w:p>
      <w:pPr>
        <w:spacing w:after="0" w:line="7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has not recognized any interest and penalties in the statements of operations because of the Company’s net operating losses and tax credits that are available to be carried forward. When necessary, the Company will account for interest and penalties related to uncertain tax positions as part of its provision for federal and state income taxes. The Company does not expect the amounts of unrecognized benefits will change significantly within the next twelve months.</w:t>
      </w:r>
    </w:p>
    <w:p>
      <w:pPr>
        <w:spacing w:after="0" w:line="74"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The Company is currently open to audit under the statute of limitations by the Internal Revenue Service and state jurisdictions for the years ended December 31, 1999 through 2023 to the extent net operating losses continue to be carried forward to 2023.</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Beginning in 2022, the Tax Cuts and Jobs Act of 2017, or the Tax Act, eliminated the option to deduct research and development expenditures immediately in the year incurred and requires taxpayers to capitalize and amortize them over five years pursuant to IRC Section 174. The mandatory capitalization requirement had no impact to the overall deferred tax assets due to the Company's loss position and full valuation allowance.</w:t>
      </w:r>
    </w:p>
    <w:p>
      <w:pPr>
        <w:spacing w:after="0" w:line="173"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Company adopted the 2012 Equity Incentive Plan, or the 2012 Plan, in May 2012. Including subsequent increases, the Company had reserved 933,333 shares for issuance. On December 31, 2023, there were 65,728 shares reserved for issuance and no shares available for future grant.</w:t>
      </w:r>
    </w:p>
    <w:p>
      <w:pPr>
        <w:spacing w:after="0" w:line="5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The Company adopted the 2020 Equity Incentive Plan, or the 2020 Plan, in June 2020. The Company reserved 1,400,000 shares for issuance plus a carryover of 71,085 shares from the 2012 Plan for a total of 1,471,085 shares. In addition, returning shares from the 2012 Plan are available for issuance under the 2020 Plan. As of December 31, 2023, there were 400,167 shares reserved for issuance and 1,302,411 shares available for future grant.</w:t>
      </w:r>
    </w:p>
    <w:p>
      <w:pPr>
        <w:spacing w:after="0" w:line="5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Stock options generally vest ratably in either quarterly or annual installments over three or four years, commencing on the first anniversary of the grant date and have contractual terms of ten years. Stock options to directors generally vest ratably over one or two years and have contractual terms of ten years. Stock options are valued using the Black-Scholes option pricing model and compensation is recognized based on such fair value over the period of vesting on a straight-line basis.</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7"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There were no proceeds from option exercises during the year ended December 31, 2023 as compared to $21 thousand during the year ended December 31, 2022. The intrinsic value of these options amounted to $26 thousand for the year ended December 31,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options plans for the years ending December 31,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711,058</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(1,750 )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(328,566 )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693,909</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(487,133 )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465,898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415,376</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Options available for future grant, December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1,302,411</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-547370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-547370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-205105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-205105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-205105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On December 31, 2023, total unrecognized compensation costs related to non-vested stock options outstanding amounted to $0.4 million, which is expected to be recognized over a weighted-average period of 1.53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2023 the Company did not issue shares of restricted stock and issued 18,667 in the year ended December 31, 2022 to directors. There were no repurchases by the Company for the year ended December 31, 2023. During the year ended December 31, 2022, the Company repurchased 1,250 shares at a price of $36.15 per share to cover payroll taxes for one employee exercise, which is in accordance with the original terms of the award.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restricted stock as of December 31, 2023 and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(20,441 )</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(15,527 )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62,604</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(33,322 )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(29,282 )</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was no unrecognized stock-based compensation expense related to non-vested restricted stock arrangements.</w:t>
      </w:r>
    </w:p>
    <w:p>
      <w:pPr>
        <w:spacing w:after="0" w:line="221"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8"/>
          <w:szCs w:val="18"/>
          <w:color w:val="auto"/>
        </w:rPr>
        <w:t>The Company sponsors a qualified 401(k) retirement plan under which employees are allowed to contribute certain percentages of their pay, up to the maximum allowed under Section 401(k) of the IRC, or the 401(k) Plan. The Company may make contributions to the 401(k) Plan at its discretion. The Company contributed approximately $0.2 million to the 401(k) Plan during the year ended December 31, 2023 and $0.5 million during the year ended December 31, 2022.</w:t>
      </w:r>
    </w:p>
    <w:p>
      <w:pPr>
        <w:spacing w:after="0" w:line="178"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ectPr>
          <w:pgSz w:w="11900" w:h="16838" w:orient="portrait"/>
          <w:cols w:equalWidth="0" w:num="1">
            <w:col w:w="11240"/>
          </w:cols>
          <w:pgMar w:left="320" w:top="987"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agreed to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55"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was not the primary beneficiary of the VIE as it did not have the power to direct the activities of the VIE. As a result, the Company accounted for the equity interest in Eden BioCell under the equity method of accounting as it had the ability to exercise significant influence.</w:t>
      </w:r>
    </w:p>
    <w:p>
      <w:pPr>
        <w:spacing w:after="0" w:line="6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 September 2021, TriArm and the Company mutually agreed to dissolve the joint venture, which has now been terminated. The Eden BioCell entity has been dissolved as of July 2023.</w:t>
      </w:r>
    </w:p>
    <w:p>
      <w:pPr>
        <w:spacing w:after="0" w:line="15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after the balance sheet date through the date of this Annual Report on Form 10-K. Other than as described in the notes to the financial statements, the Company did not have any material subsequent events that impacted its financial statements or disclosures aside from the following.</w:t>
      </w:r>
    </w:p>
    <w:p>
      <w:pPr>
        <w:spacing w:after="0" w:line="6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On January 20, 2024, the Board of Directors appointed Dale Curtis Hogue, Jr. as Interim Chief Executive Officer of the Company, effective immediately. On January 21, 2024, the Company entered into an employment agreement with Mr. Hogue, under which he will receive an annual base salary of $250 thousand. Mr. Hogue was awarded 40,000 shares of common stock of the Company with an exercise price of $1.80.</w:t>
      </w:r>
    </w:p>
    <w:p>
      <w:pPr>
        <w:spacing w:after="0" w:line="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15, 2024, Michael Wong gave notice of his resignation as Vice President, Finance, effective February 23, 2024. On February 22, 2024, the Company and Ferdinand Groenewald entered into a consulting agreement, or the Consulting Agreement, effective February 22, 2024, pursuant to which Mr. Groenewald will lead accounting and financial reporting activities of the Company. Mr. Groenewald will serve as the Company’s Vice President, Finance. The Consulting Agreement will continue indefinitely until terminated by either party upon 30 days’ advance notice. The Consulting Agreement provides for compensation at a fixed rate of $15 thousand per month and reimbursement by the Company for any usual and customary business expenses incurred by Mr. Groenewald in connection with performing services pursuant to the Consulting Agreement. In addition, the Consulting Agreement provides for the Company to indemnify Mr. Groenewald on terms customary for officers.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10.59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Consulting Agreement (this “Agreement”), dated as of November 14, 2023, is made by and between Alaunos Therapeutics, Inc. (the “Company”) and Melinda Lackey (“Consultant”), (together the “Parties”).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engage Consultant to provide services pursuant to the terms and conditions contained in this Agreement; and</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Consultant desires to accept such engagement pursuant to the terms and conditions contained in this Agreement;</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covenants and agreements hereinafter contained, the parties agree as follows:</w:t>
      </w:r>
    </w:p>
    <w:p>
      <w:pPr>
        <w:spacing w:after="0" w:line="153" w:lineRule="exact"/>
        <w:rPr>
          <w:sz w:val="20"/>
          <w:szCs w:val="20"/>
          <w:color w:val="auto"/>
        </w:rPr>
      </w:pPr>
    </w:p>
    <w:p>
      <w:pPr>
        <w:jc w:val="both"/>
        <w:ind w:firstLine="757"/>
        <w:spacing w:after="0"/>
        <w:tabs>
          <w:tab w:leader="none" w:pos="101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services relationship with the Company will commence on November 16, 2023 (the “Start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continue indefinitely until terminated in accordance with this Section 1. Either party may terminate this Agreement by providing the other party with at least thirty (30) days of advance written notice of such decision. The period of Consultant’s services relationship with the Company, beginning on the Start Date, is referred to as the “Term.”</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Consultant will be responsible for providing the Company with the services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such other services as the Parties may agree to from time to time (the “Services”). Consultant may not subcontract or otherwise delegate Consultant’s obligations under this Agreement without the Company’s prior written consent.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24"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197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xml:space="preserve">. As sole compensation for the performance of the Services, the Company will pay to Consultant the amount(s) and on the schedule specified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Withholdings</w:t>
      </w:r>
      <w:r>
        <w:rPr>
          <w:rFonts w:ascii="Times New Roman" w:cs="Times New Roman" w:eastAsia="Times New Roman" w:hAnsi="Times New Roman"/>
          <w:sz w:val="22"/>
          <w:szCs w:val="22"/>
          <w:color w:val="auto"/>
        </w:rPr>
        <w:t>. Consultant acknowledges that the Company does not intend to make withholdings from any payments hereunder. Consultant will have the exclusive responsibility for paying any taxes (including income taxes, social security contributions, and similar obligations) on such payments. At the appropriate time, the Company will provide Consultant with a Form 1099 for Consultant’s tax purposes.</w:t>
      </w:r>
    </w:p>
    <w:p>
      <w:pPr>
        <w:spacing w:after="0" w:line="179" w:lineRule="exact"/>
        <w:rPr>
          <w:sz w:val="20"/>
          <w:szCs w:val="20"/>
          <w:color w:val="auto"/>
        </w:rPr>
      </w:pPr>
    </w:p>
    <w:p>
      <w:pPr>
        <w:jc w:val="both"/>
        <w:ind w:firstLine="1505"/>
        <w:spacing w:after="0" w:line="239" w:lineRule="auto"/>
        <w:tabs>
          <w:tab w:leader="none" w:pos="19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Benefits</w:t>
      </w:r>
      <w:r>
        <w:rPr>
          <w:rFonts w:ascii="Times New Roman" w:cs="Times New Roman" w:eastAsia="Times New Roman" w:hAnsi="Times New Roman"/>
          <w:sz w:val="22"/>
          <w:szCs w:val="22"/>
          <w:color w:val="auto"/>
        </w:rPr>
        <w:t>. The Company will not provide Consultant with any benefits except as provided in this Agreement, nor will Consultant be entitled to participate in any benefit plan or arrangement of the Company or any affiliated entity of the Company, including without limitation any vacation benefit or insurance arrangement (the “Company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0" w:name="page101"/>
    <w:bookmarkEnd w:id="100"/>
    <w:p>
      <w:pPr>
        <w:spacing w:after="0" w:line="179" w:lineRule="exact"/>
        <w:rPr>
          <w:sz w:val="20"/>
          <w:szCs w:val="20"/>
          <w:color w:val="auto"/>
        </w:rPr>
      </w:pPr>
    </w:p>
    <w:p>
      <w:pPr>
        <w:jc w:val="both"/>
        <w:ind w:firstLine="757"/>
        <w:spacing w:after="0" w:line="246" w:lineRule="auto"/>
        <w:tabs>
          <w:tab w:leader="none" w:pos="10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Independent Contractor Status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acknowledges that, during the Term, Consultant’s relationship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be that of an independent contractor, and not that of an employee of the Company. Nothing herein will be deemed to establish a partnership, joint venture, or employment relationship between the parties.</w:t>
      </w:r>
    </w:p>
    <w:p>
      <w:pPr>
        <w:spacing w:after="0" w:line="165"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Existing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supplements and does not amend the responsibilities of the Parties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agreements regarding confidential information, trade secrets, or invention or intellectual property assignment, including that certain Invention, Non-Disclosure, and Non-Solicitation Agreement dated November 17, 2021.</w:t>
      </w:r>
    </w:p>
    <w:p>
      <w:pPr>
        <w:spacing w:after="0" w:line="165"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and other communications provided for in this Agreement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been duly given (a) when delivered and received by the other party, or (b) two (2) business days after being sent when sent by recognized overnight courier to the following addresses: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Alaunos Therapeutics, Inc.</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2617 Bissonnet St., Suite 225</w:t>
      </w:r>
    </w:p>
    <w:p>
      <w:pPr>
        <w:ind w:left="1500"/>
        <w:spacing w:after="0" w:line="230" w:lineRule="auto"/>
        <w:rPr>
          <w:sz w:val="20"/>
          <w:szCs w:val="20"/>
          <w:color w:val="auto"/>
        </w:rPr>
      </w:pPr>
      <w:r>
        <w:rPr>
          <w:rFonts w:ascii="Times New Roman" w:cs="Times New Roman" w:eastAsia="Times New Roman" w:hAnsi="Times New Roman"/>
          <w:sz w:val="22"/>
          <w:szCs w:val="22"/>
          <w:color w:val="auto"/>
        </w:rPr>
        <w:t>Houston TX 77005</w:t>
      </w:r>
    </w:p>
    <w:p>
      <w:pPr>
        <w:ind w:left="1500"/>
        <w:spacing w:after="0"/>
        <w:rPr>
          <w:sz w:val="20"/>
          <w:szCs w:val="20"/>
          <w:color w:val="auto"/>
        </w:rPr>
      </w:pPr>
      <w:r>
        <w:rPr>
          <w:rFonts w:ascii="Times New Roman" w:cs="Times New Roman" w:eastAsia="Times New Roman" w:hAnsi="Times New Roman"/>
          <w:sz w:val="22"/>
          <w:szCs w:val="22"/>
          <w:color w:val="auto"/>
        </w:rPr>
        <w:t>Attention: legalteam@alaunos.com;</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Consultant: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Melinda Lackey</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mlackey@alaunos.com;</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will have furnished to the other in writing in accordance with this Section 6, except that such notice of change of address shall be effective only upon receipt.</w:t>
      </w:r>
    </w:p>
    <w:p>
      <w:pPr>
        <w:spacing w:after="0" w:line="153" w:lineRule="exact"/>
        <w:rPr>
          <w:sz w:val="20"/>
          <w:szCs w:val="20"/>
          <w:color w:val="auto"/>
        </w:rPr>
      </w:pPr>
    </w:p>
    <w:p>
      <w:pPr>
        <w:jc w:val="both"/>
        <w:ind w:firstLine="757"/>
        <w:spacing w:after="0" w:line="237" w:lineRule="auto"/>
        <w:tabs>
          <w:tab w:leader="none" w:pos="1018"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D&amp;O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obtained and shall cause to be maintained in effect during the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financially sound insurers, a policy of directors’ and officers’ liability insurance (the “D&amp;O Policy”). The Company and Consultant acknowledge and agree that, in providing the Services, Consultant will act as an officer of the Company, and the Company and Consultant expect and intend that Consultant shall be covered by the D&amp;O policy under no less favorable terms than any other individual covered by the D&amp;O policy. The provisions in this Section 7 shall survive the termination of this Agreement.</w:t>
      </w:r>
    </w:p>
    <w:p>
      <w:pPr>
        <w:spacing w:after="0" w:line="17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firstLine="757"/>
        <w:spacing w:after="0" w:line="237"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defend and indemnify Consultant, to the fullest extent permitted by law against any and all threatened, pending, or completed action, suit, proceeding, or alternative dispute resolution mechanism, whether civil, criminal, administrative, arbitrative, investigative, or other, and whether made pursuant to federal, state, or other law (each, a “Claim”) against Consultant as a result of the Consultant’s performance of the Services or as result of the Consultant’s prior work as an employee and officer of the Company, including without limitation Claims brought by or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right of the Company, Claims brought by third parties, and Claims in which Consultant is solely a witness.</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(b)Consultant shall have the right to advancement by the Company, prior to the final disposition of any Claim by final adjudication to which there are no further rights of appeal, of any and all Expenses (as that term is defined below) actually and reasonably paid or incurred by Consultant in connection with any Claim. Consultant’s right to such advancement is not subject to the satisfaction of any standard of conduct. Without limiting the generality or effect of the foregoing, within ten (10) days after any written request by Consultant, the Company shall, in accordance with such request, (a) pay such Expenses on behalf of Consultant, (b) advance to Consultant funds in an amount sufficient to pay such Expenses, or (c) reimburse Consultant for such Expenses.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in, or participate in, any Claim.</w:t>
      </w:r>
    </w:p>
    <w:p>
      <w:pPr>
        <w:spacing w:after="0" w:line="176" w:lineRule="exact"/>
        <w:rPr>
          <w:sz w:val="20"/>
          <w:szCs w:val="20"/>
          <w:color w:val="auto"/>
        </w:rPr>
      </w:pPr>
    </w:p>
    <w:p>
      <w:pPr>
        <w:ind w:firstLine="757"/>
        <w:spacing w:after="0" w:line="258"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or effect of the foregoing, Consultants right to indemnification and advancement of Expenses shall be no less favorable than that of any officer of the Company.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(d)The provisions in this Section 8 shall survive the termination of this Agreement.</w:t>
      </w:r>
    </w:p>
    <w:p>
      <w:pPr>
        <w:spacing w:after="0" w:line="201" w:lineRule="exact"/>
        <w:rPr>
          <w:sz w:val="20"/>
          <w:szCs w:val="20"/>
          <w:color w:val="auto"/>
        </w:rPr>
      </w:pPr>
    </w:p>
    <w:p>
      <w:pPr>
        <w:ind w:left="1500" w:hanging="743"/>
        <w:spacing w:after="0"/>
        <w:tabs>
          <w:tab w:leader="none" w:pos="15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firstLine="757"/>
        <w:spacing w:after="0" w:line="244" w:lineRule="auto"/>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of the provisions of this Agreement, or the application of any such provisions to Consultant or the Company with respect to obligations hereunder, is held to be unlawful or unenforceable by any court, then the remaining portions of this Agreement shall remain in full force and effect and shall not be invalidated or impaired in any manner.</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by any party of the breach of any term or covenant contained in this Agreement, whether by conduct or otherwise, in any one or more instances, shall be deemed to be, or construed as, a further or continuing waiver of any such breach, or a waiver of any other term or covenant contained in this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Exhibits hereto) contains the entire agreement between Consultant and the Company with respect to the subject matter of this Agreement (including all Exhibits hereto), and supersedes any and all prior agreements and understandings, whether verbal or written, between Consultant and the Company with respect to the subject matter of this Agreement (including all Exhibits hereto). This Agreement may be amended only by an agreement in writing signed by Consultant and the Company.</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assigned by Consultant or the Company without the other party’s consent, and any such attempted assignment shall be void and of no effect.</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language of this Agreement are the result of arm’s length negotiations between the parties. Consequently, there shall be no presumption that any ambiguity in this Agreement should be resolved in favor of one party and against another. Any controversy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concerning the construction of this Agreement shall be decided neutrally without regard to authorship.</w:t>
      </w:r>
    </w:p>
    <w:p>
      <w:pPr>
        <w:spacing w:after="0" w:line="205" w:lineRule="exact"/>
        <w:rPr>
          <w:sz w:val="20"/>
          <w:szCs w:val="20"/>
          <w:color w:val="auto"/>
        </w:rPr>
      </w:pPr>
    </w:p>
    <w:p>
      <w:pPr>
        <w:ind w:firstLine="757"/>
        <w:spacing w:after="0" w:line="258" w:lineRule="auto"/>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titles and headings of sections and subsections contained in this Agreement are included solely for convenience of reference and will not control the meaning or interpretation of any of the provisions of this Agreement.</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each of which so executed shall be deemed to be an original, and such counterparts shall together constitute but one agreement. Each party may execute this Agreement in Adobe Portable Document Format or in a similar format (“PDF”) sent by electronic mail. In addition, PDF signatures of authorized signatories of any party will be deemed to be original signatures and will be valid and binding, and delivery of a PDF signature by any party will constitute due execution and delivery of this Agreement.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Texas, without giving effect to its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as of the date first written above.</w:t>
      </w:r>
    </w:p>
    <w:p>
      <w:pPr>
        <w:spacing w:after="0" w:line="201"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ALAUNOS THERAPEUTICS, INC.</w:t>
      </w:r>
      <w:r>
        <w:rPr>
          <w:sz w:val="20"/>
          <w:szCs w:val="20"/>
          <w:color w:val="auto"/>
        </w:rPr>
        <w:tab/>
      </w:r>
      <w:r>
        <w:rPr>
          <w:rFonts w:ascii="Times New Roman" w:cs="Times New Roman" w:eastAsia="Times New Roman" w:hAnsi="Times New Roman"/>
          <w:sz w:val="20"/>
          <w:szCs w:val="20"/>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_/s/ Michael Wong__________</w:t>
            </w:r>
          </w:p>
        </w:tc>
        <w:tc>
          <w:tcPr>
            <w:tcW w:w="754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__/s/ Melinda Lackey_________</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Wong</w:t>
            </w:r>
          </w:p>
        </w:tc>
        <w:tc>
          <w:tcPr>
            <w:tcW w:w="74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 w:type="dxa"/>
            <w:vAlign w:val="bottom"/>
            <w:vMerge w:val="continue"/>
          </w:tcPr>
          <w:p>
            <w:pPr>
              <w:spacing w:after="0"/>
              <w:rPr>
                <w:sz w:val="20"/>
                <w:szCs w:val="20"/>
                <w:color w:val="auto"/>
              </w:rPr>
            </w:pPr>
          </w:p>
        </w:tc>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5"/>
              </w:rPr>
              <w:t>Name:</w:t>
            </w:r>
          </w:p>
        </w:tc>
        <w:tc>
          <w:tcPr>
            <w:tcW w:w="1040" w:type="dxa"/>
            <w:vAlign w:val="bottom"/>
          </w:tcPr>
          <w:p>
            <w:pPr>
              <w:ind w:left="460"/>
              <w:spacing w:after="0" w:line="236" w:lineRule="exact"/>
              <w:rPr>
                <w:sz w:val="20"/>
                <w:szCs w:val="20"/>
                <w:color w:val="auto"/>
              </w:rPr>
            </w:pPr>
            <w:r>
              <w:rPr>
                <w:rFonts w:ascii="Times New Roman" w:cs="Times New Roman" w:eastAsia="Times New Roman" w:hAnsi="Times New Roman"/>
                <w:sz w:val="22"/>
                <w:szCs w:val="22"/>
                <w:color w:val="auto"/>
                <w:w w:val="77"/>
              </w:rPr>
              <w:t>Michael</w:t>
            </w:r>
          </w:p>
        </w:tc>
        <w:tc>
          <w:tcPr>
            <w:tcW w:w="17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6800" w:type="dxa"/>
            <w:vAlign w:val="bottom"/>
            <w:gridSpan w:val="2"/>
          </w:tcPr>
          <w:p>
            <w:pPr>
              <w:ind w:left="440"/>
              <w:spacing w:after="0" w:line="236" w:lineRule="exact"/>
              <w:rPr>
                <w:sz w:val="20"/>
                <w:szCs w:val="20"/>
                <w:color w:val="auto"/>
              </w:rPr>
            </w:pPr>
            <w:r>
              <w:rPr>
                <w:rFonts w:ascii="Times New Roman" w:cs="Times New Roman" w:eastAsia="Times New Roman" w:hAnsi="Times New Roman"/>
                <w:sz w:val="22"/>
                <w:szCs w:val="22"/>
                <w:color w:val="auto"/>
              </w:rPr>
              <w:t>Name: Melinda Lackey</w:t>
            </w:r>
          </w:p>
        </w:tc>
        <w:tc>
          <w:tcPr>
            <w:tcW w:w="0" w:type="dxa"/>
            <w:vAlign w:val="bottom"/>
          </w:tcPr>
          <w:p>
            <w:pPr>
              <w:spacing w:after="0"/>
              <w:rPr>
                <w:sz w:val="1"/>
                <w:szCs w:val="1"/>
                <w:color w:val="auto"/>
              </w:rPr>
            </w:pPr>
          </w:p>
        </w:tc>
      </w:tr>
      <w:tr>
        <w:trPr>
          <w:trHeight w:val="282"/>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Title:</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Vice President, Finance</w:t>
            </w: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20" w:type="dxa"/>
            <w:vAlign w:val="bottom"/>
            <w:gridSpan w:val="2"/>
          </w:tcPr>
          <w:p>
            <w:pPr>
              <w:jc w:val="right"/>
              <w:ind w:right="732"/>
              <w:spacing w:after="0"/>
              <w:rPr>
                <w:sz w:val="20"/>
                <w:szCs w:val="20"/>
                <w:color w:val="auto"/>
              </w:rPr>
            </w:pPr>
            <w:r>
              <w:rPr>
                <w:rFonts w:ascii="Times New Roman" w:cs="Times New Roman" w:eastAsia="Times New Roman" w:hAnsi="Times New Roman"/>
                <w:sz w:val="22"/>
                <w:szCs w:val="22"/>
                <w:color w:val="auto"/>
              </w:rPr>
              <w:t>4</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Services</w:t>
      </w: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Consultant shall provide legal, corporate and administrative services to the Company and other services as may be requested by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04" w:name="page105"/>
    <w:bookmarkEnd w:id="104"/>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Service Fee</w:t>
      </w:r>
    </w:p>
    <w:p>
      <w:pPr>
        <w:spacing w:after="0" w:line="236" w:lineRule="exact"/>
        <w:rPr>
          <w:sz w:val="20"/>
          <w:szCs w:val="20"/>
          <w:color w:val="auto"/>
        </w:rPr>
      </w:pPr>
    </w:p>
    <w:p>
      <w:pPr>
        <w:ind w:firstLine="757"/>
        <w:spacing w:after="0" w:line="258" w:lineRule="auto"/>
        <w:tabs>
          <w:tab w:leader="none" w:pos="120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$ 400 per hourly rate paid in U.S. dollars by the Company to Consultant for the entire Term of this Agreement, unless otherwise agreed by the Company and Consultant in writing.</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Consultant for any usual and customary business expenses as may be reasonably required to provide the services to the Company for the term of this Agreement (e.g. office supplies, travel time and mileage).</w:t>
      </w:r>
    </w:p>
    <w:p>
      <w:pPr>
        <w:spacing w:after="0" w:line="199"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Consultant</w:t>
      </w:r>
      <w:r>
        <w:rPr>
          <w:rFonts w:ascii="Times New Roman" w:cs="Times New Roman" w:eastAsia="Times New Roman" w:hAnsi="Times New Roman"/>
          <w:sz w:val="22"/>
          <w:szCs w:val="22"/>
          <w:color w:val="auto"/>
        </w:rPr>
        <w:t>: Consultant will provide the Company a Statement of Services rendered, including hourly fees and expenses, every bi-weekly period during the Term of this Agreement. The payments for Statement of Services rendered will be delivered to Consultant within ten (10) business days upon receipt of the Statement of Services by the Company during the term of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ind w:left="10020"/>
        <w:spacing w:after="0"/>
        <w:rPr>
          <w:sz w:val="20"/>
          <w:szCs w:val="20"/>
          <w:color w:val="auto"/>
        </w:rPr>
      </w:pPr>
      <w:r>
        <w:rPr>
          <w:rFonts w:ascii="Times New Roman" w:cs="Times New Roman" w:eastAsia="Times New Roman" w:hAnsi="Times New Roman"/>
          <w:sz w:val="20"/>
          <w:szCs w:val="20"/>
          <w:b w:val="1"/>
          <w:bCs w:val="1"/>
          <w:color w:val="auto"/>
        </w:rPr>
        <w:t>Exhibit 10.60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20,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Kevin,</w:t>
      </w:r>
    </w:p>
    <w:p>
      <w:pPr>
        <w:spacing w:after="0" w:line="232"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This Separation and Release Agreement (“Agreement”) follows up on our recent discussions concerning the termination of your employment with Alaunos Therapeutics,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assist you in your transition, the Company is offering you certain transitional benefits in exchange for a mutual, general release of claims and other terms set forth below.</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specific terms of the Agreement are as follows:</w:t>
      </w:r>
    </w:p>
    <w:p>
      <w:pPr>
        <w:spacing w:after="0" w:line="94" w:lineRule="exact"/>
        <w:rPr>
          <w:sz w:val="20"/>
          <w:szCs w:val="20"/>
          <w:color w:val="auto"/>
        </w:rPr>
      </w:pPr>
    </w:p>
    <w:p>
      <w:pPr>
        <w:jc w:val="both"/>
        <w:ind w:firstLine="757"/>
        <w:spacing w:after="0" w:line="238" w:lineRule="auto"/>
        <w:tabs>
          <w:tab w:leader="none" w:pos="101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Effective December 22, 2023, you will be relieved of all duties and not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any additional services, you will be paid through and including December 22, 2023, which shall be your last day of employment with the Company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The Company will pay you all wages earned and any accrued and unused PTO in accordance with the Company’s policies through your Separation Date. You will receive these amounts regardless of whether you sign this Agreement.</w:t>
      </w:r>
    </w:p>
    <w:p>
      <w:pPr>
        <w:spacing w:after="0" w:line="174"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 Pay</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b w:val="1"/>
          <w:bCs w:val="1"/>
          <w:color w:val="auto"/>
        </w:rPr>
      </w:pPr>
    </w:p>
    <w:p>
      <w:pPr>
        <w:jc w:val="both"/>
        <w:ind w:left="760" w:firstLine="745"/>
        <w:spacing w:after="0" w:line="236" w:lineRule="auto"/>
        <w:tabs>
          <w:tab w:leader="none" w:pos="204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your execution of and compliance with this Agreement, </w:t>
      </w:r>
      <w:r>
        <w:rPr>
          <w:rFonts w:ascii="Times New Roman" w:cs="Times New Roman" w:eastAsia="Times New Roman" w:hAnsi="Times New Roman"/>
          <w:sz w:val="22"/>
          <w:szCs w:val="22"/>
          <w:u w:val="single" w:color="auto"/>
          <w:color w:val="auto"/>
        </w:rPr>
        <w:t>provided that you execute,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return, and do not revoke this Agreement pursuant to Section 11</w:t>
      </w:r>
      <w:r>
        <w:rPr>
          <w:rFonts w:ascii="Times New Roman" w:cs="Times New Roman" w:eastAsia="Times New Roman" w:hAnsi="Times New Roman"/>
          <w:sz w:val="22"/>
          <w:szCs w:val="22"/>
          <w:color w:val="auto"/>
        </w:rPr>
        <w:t>, you shall receive a one-time lump sum separation payment representing six (6) months of your base salary and six (6) months of COBRA eligibility reflecting the same coverage as you currently hold with the Company (the “Separation Payment”), less all applicable income and payroll taxes, deductions and withholdings. The Separation Payment shall be paid to you on the next regularly scheduled pay day following the Effective Date (as that term is defined below) of this Agreement.</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withhold from any payments (including but not limited to the Separation Payment) to you all sums that it is required or allowed to withhold pursuant to applicable tax withholding laws or regulations. You shall remain solely responsible for any and all income or other taxes due by you or assessed against you on payments made to you.</w:t>
      </w:r>
    </w:p>
    <w:p>
      <w:pPr>
        <w:spacing w:after="0" w:line="17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Benefits.</w:t>
      </w:r>
    </w:p>
    <w:p>
      <w:pPr>
        <w:spacing w:after="0" w:line="209" w:lineRule="exact"/>
        <w:rPr>
          <w:rFonts w:ascii="Times New Roman" w:cs="Times New Roman" w:eastAsia="Times New Roman" w:hAnsi="Times New Roman"/>
          <w:sz w:val="22"/>
          <w:szCs w:val="22"/>
          <w:b w:val="1"/>
          <w:bCs w:val="1"/>
          <w:color w:val="auto"/>
        </w:rPr>
      </w:pPr>
    </w:p>
    <w:p>
      <w:pPr>
        <w:jc w:val="both"/>
        <w:ind w:left="760" w:firstLine="745"/>
        <w:spacing w:after="0" w:line="237" w:lineRule="auto"/>
        <w:tabs>
          <w:tab w:leader="none" w:pos="204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Healthcare Continuation Coverage</w:t>
      </w:r>
      <w:r>
        <w:rPr>
          <w:rFonts w:ascii="Times New Roman" w:cs="Times New Roman" w:eastAsia="Times New Roman" w:hAnsi="Times New Roman"/>
          <w:sz w:val="22"/>
          <w:szCs w:val="22"/>
          <w:color w:val="auto"/>
        </w:rPr>
        <w:t>. If applicable, your healthcare coverage will cease as of the last day of the month in which the employment separation occurs. However, you may be eligible to continue health insurance coverage at your own expense pursuant to the Consolidated Omnibus Budget Reconciliation Act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Pursuant to COBRA, if you are eligible, you will be notified of the procedures to access health care continuation coverage by separate correspondence. All other employee benefits will terminate effective on your Separation Date.</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Unemployment Compensation</w:t>
      </w:r>
      <w:r>
        <w:rPr>
          <w:rFonts w:ascii="Times New Roman" w:cs="Times New Roman" w:eastAsia="Times New Roman" w:hAnsi="Times New Roman"/>
          <w:sz w:val="22"/>
          <w:szCs w:val="22"/>
          <w:color w:val="auto"/>
        </w:rPr>
        <w:t>. The Company agrees that if you decide to seek unemployment compensation benefits, it will not contest your application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06" w:name="page107"/>
    <w:bookmarkEnd w:id="106"/>
    <w:p>
      <w:pPr>
        <w:jc w:val="both"/>
        <w:ind w:left="321"/>
        <w:spacing w:after="0" w:line="239" w:lineRule="auto"/>
        <w:rPr>
          <w:sz w:val="20"/>
          <w:szCs w:val="20"/>
          <w:color w:val="auto"/>
        </w:rPr>
      </w:pPr>
      <w:r>
        <w:rPr>
          <w:rFonts w:ascii="Times New Roman" w:cs="Times New Roman" w:eastAsia="Times New Roman" w:hAnsi="Times New Roman"/>
          <w:sz w:val="22"/>
          <w:szCs w:val="22"/>
          <w:color w:val="auto"/>
        </w:rPr>
        <w:t>unemployment compensation. The Company, however, will not provide any false information to any state agency. The Company makes no representations concerning your eligibility for unemployment compensation. You acknowledge and understand that any determination as to your eligibility for unemployment compensation is made solely by the state agency to which you apply for such benefits.</w:t>
      </w:r>
    </w:p>
    <w:p>
      <w:pPr>
        <w:spacing w:after="0" w:line="179" w:lineRule="exact"/>
        <w:rPr>
          <w:sz w:val="20"/>
          <w:szCs w:val="20"/>
          <w:color w:val="auto"/>
        </w:rPr>
      </w:pPr>
    </w:p>
    <w:p>
      <w:pPr>
        <w:jc w:val="both"/>
        <w:ind w:left="321" w:firstLine="745"/>
        <w:spacing w:after="0" w:line="271" w:lineRule="auto"/>
        <w:tabs>
          <w:tab w:leader="none" w:pos="1608"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Except as specifically set forth in this Agreement, and except as to any vested benefits, your right to, and participation in, all employee benefit plans of the Company shall terminate as of your Separation Date in accordance with the specific terms of each plan. To the extent you have any vested assets in any employee benefit plan of the Company, the status and treatment of any such assets shall be governed by the applicable terms of such plan.</w:t>
      </w:r>
    </w:p>
    <w:p>
      <w:pPr>
        <w:spacing w:after="0" w:line="143" w:lineRule="exact"/>
        <w:rPr>
          <w:rFonts w:ascii="Times New Roman" w:cs="Times New Roman" w:eastAsia="Times New Roman" w:hAnsi="Times New Roman"/>
          <w:sz w:val="20"/>
          <w:szCs w:val="20"/>
          <w:color w:val="auto"/>
        </w:rPr>
      </w:pPr>
    </w:p>
    <w:p>
      <w:pPr>
        <w:ind w:left="581" w:hanging="263"/>
        <w:spacing w:after="0"/>
        <w:tabs>
          <w:tab w:leader="none" w:pos="581"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Acknowledgements. </w:t>
      </w:r>
      <w:r>
        <w:rPr>
          <w:rFonts w:ascii="Times New Roman" w:cs="Times New Roman" w:eastAsia="Times New Roman" w:hAnsi="Times New Roman"/>
          <w:sz w:val="22"/>
          <w:szCs w:val="22"/>
          <w:color w:val="auto"/>
        </w:rPr>
        <w:t>You acknowledge and agree that:</w:t>
      </w:r>
    </w:p>
    <w:p>
      <w:pPr>
        <w:spacing w:after="0" w:line="209" w:lineRule="exact"/>
        <w:rPr>
          <w:rFonts w:ascii="Times New Roman" w:cs="Times New Roman" w:eastAsia="Times New Roman" w:hAnsi="Times New Roman"/>
          <w:sz w:val="22"/>
          <w:szCs w:val="22"/>
          <w:b w:val="1"/>
          <w:bCs w:val="1"/>
          <w:color w:val="auto"/>
        </w:rPr>
      </w:pPr>
    </w:p>
    <w:p>
      <w:pPr>
        <w:ind w:left="321" w:firstLine="745"/>
        <w:spacing w:after="0" w:line="258" w:lineRule="auto"/>
        <w:tabs>
          <w:tab w:leader="none" w:pos="1608"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Separation Payment are neither intended to nor shall constitute a severance plan and shall confer no benefit on anyone other than the Company and you; and</w:t>
      </w:r>
    </w:p>
    <w:p>
      <w:pPr>
        <w:spacing w:after="0" w:line="157" w:lineRule="exact"/>
        <w:rPr>
          <w:rFonts w:ascii="Times New Roman" w:cs="Times New Roman" w:eastAsia="Times New Roman" w:hAnsi="Times New Roman"/>
          <w:sz w:val="22"/>
          <w:szCs w:val="22"/>
          <w:color w:val="auto"/>
        </w:rPr>
      </w:pPr>
    </w:p>
    <w:p>
      <w:pPr>
        <w:jc w:val="both"/>
        <w:ind w:left="321" w:firstLine="745"/>
        <w:spacing w:after="0" w:line="264" w:lineRule="auto"/>
        <w:tabs>
          <w:tab w:leader="none" w:pos="1608"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(i) any unpaid regular wages (including accrued but unused vacation time) earned through (and including) the Separation Date, which shall be paid by the Company and (ii) any vested monies due to you pursuant to any retirement programs in which you participate, you have been paid and provided (or will be paid and provided by December 31, 2023) all wages, vacation pay, holiday pay, earned paid sick time, PTO, family and medical leave, bonuses, commissions and any other form of compensation or benefit that may be due to you now or which would have become due in the future in connection with your employment with or separation of employment from the Company.</w:t>
      </w:r>
    </w:p>
    <w:p>
      <w:pPr>
        <w:spacing w:after="0" w:line="150" w:lineRule="exact"/>
        <w:rPr>
          <w:rFonts w:ascii="Times New Roman" w:cs="Times New Roman" w:eastAsia="Times New Roman" w:hAnsi="Times New Roman"/>
          <w:sz w:val="20"/>
          <w:szCs w:val="20"/>
          <w:color w:val="auto"/>
        </w:rPr>
      </w:pPr>
    </w:p>
    <w:p>
      <w:pPr>
        <w:jc w:val="both"/>
        <w:ind w:left="-439" w:firstLine="757"/>
        <w:spacing w:after="0" w:line="234" w:lineRule="auto"/>
        <w:tabs>
          <w:tab w:leader="none" w:pos="579"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Except as agreed to for fulfillment of services under any consulting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by you and the Company, you agree to relinquish access to or return to the Company, and agree that you will knowingly retain no copies of: (a) all originals and copies of any proprietary or confidential information and trade secrets of the Company, whether in print, electronic or other form; (b) all originals and copies of Company and customer files, written materials, records and other documents, whether in print, electronic or other form, whether made by you or coming into your possession during the course of your employment with the Company; (c) all identification cards, keys, security passes or other means of access to Company facilities; and (d) any credit cards, or telephone cards. All such property must be returned on or before your Separation Date or the expiration of any consulting agreement, whichever is later. In addition, on the Separation Date or the expiration of any consulting agreement, whichever is later, you will factory-reset your company laptop and company iPhone and ensure all data is deleted. After such deletion, you are permitted to retain this laptop and iPhone.</w:t>
      </w:r>
    </w:p>
    <w:p>
      <w:pPr>
        <w:spacing w:after="0" w:line="176" w:lineRule="exact"/>
        <w:rPr>
          <w:rFonts w:ascii="Times New Roman" w:cs="Times New Roman" w:eastAsia="Times New Roman" w:hAnsi="Times New Roman"/>
          <w:sz w:val="22"/>
          <w:szCs w:val="22"/>
          <w:b w:val="1"/>
          <w:bCs w:val="1"/>
          <w:color w:val="auto"/>
        </w:rPr>
      </w:pPr>
    </w:p>
    <w:p>
      <w:pPr>
        <w:ind w:left="581" w:hanging="263"/>
        <w:spacing w:after="0"/>
        <w:tabs>
          <w:tab w:leader="none" w:pos="581"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09" w:lineRule="exact"/>
        <w:rPr>
          <w:rFonts w:ascii="Times New Roman" w:cs="Times New Roman" w:eastAsia="Times New Roman" w:hAnsi="Times New Roman"/>
          <w:sz w:val="22"/>
          <w:szCs w:val="22"/>
          <w:b w:val="1"/>
          <w:bCs w:val="1"/>
          <w:color w:val="auto"/>
        </w:rPr>
      </w:pPr>
    </w:p>
    <w:p>
      <w:pPr>
        <w:ind w:left="321" w:firstLine="745"/>
        <w:spacing w:after="0" w:line="258" w:lineRule="auto"/>
        <w:tabs>
          <w:tab w:leader="none" w:pos="1608"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that nothing in this Agreement shall limit the rights of any government agency or entity or any party’s right of access to, participation or cooperation</w:t>
      </w:r>
    </w:p>
    <w:p>
      <w:pPr>
        <w:spacing w:after="0" w:line="200" w:lineRule="exact"/>
        <w:rPr>
          <w:rFonts w:ascii="Times New Roman" w:cs="Times New Roman" w:eastAsia="Times New Roman" w:hAnsi="Times New Roman"/>
          <w:sz w:val="22"/>
          <w:szCs w:val="22"/>
          <w:color w:val="auto"/>
        </w:rPr>
      </w:pPr>
    </w:p>
    <w:p>
      <w:pPr>
        <w:spacing w:after="0" w:line="361" w:lineRule="exact"/>
        <w:rPr>
          <w:rFonts w:ascii="Times New Roman" w:cs="Times New Roman" w:eastAsia="Times New Roman" w:hAnsi="Times New Roman"/>
          <w:sz w:val="22"/>
          <w:szCs w:val="22"/>
          <w:color w:val="auto"/>
        </w:rPr>
      </w:pPr>
    </w:p>
    <w:p>
      <w:pPr>
        <w:ind w:left="121" w:hanging="121"/>
        <w:spacing w:after="0"/>
        <w:tabs>
          <w:tab w:leader="none" w:pos="1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759" w:top="1407" w:right="339" w:bottom="1440" w:gutter="0" w:footer="0" w:header="0"/>
        </w:sectPr>
      </w:pPr>
    </w:p>
    <w:bookmarkStart w:id="107" w:name="page108"/>
    <w:bookmarkEnd w:id="107"/>
    <w:p>
      <w:pPr>
        <w:jc w:val="both"/>
        <w:ind w:left="321"/>
        <w:spacing w:after="0" w:line="237" w:lineRule="auto"/>
        <w:rPr>
          <w:sz w:val="20"/>
          <w:szCs w:val="20"/>
          <w:color w:val="auto"/>
        </w:rPr>
      </w:pPr>
      <w:r>
        <w:rPr>
          <w:rFonts w:ascii="Times New Roman" w:cs="Times New Roman" w:eastAsia="Times New Roman" w:hAnsi="Times New Roman"/>
          <w:sz w:val="22"/>
          <w:szCs w:val="22"/>
          <w:color w:val="auto"/>
        </w:rPr>
        <w:t>with any government agency or entity including, but not limited to, the Department of Justice, the Securities and Exchange Commission, Congress, and any agency Inspector General, nor shall anything in this Agreement limit your ability to make any other disclosures that are protected under the whistleblower provisions of federal law or regulation. You understand that you do not need the prior authorization of the Company to make any such reports or disclosures and that you are not required to notify the Company that you have made such reports or disclosures.</w:t>
      </w:r>
    </w:p>
    <w:p>
      <w:pPr>
        <w:spacing w:after="0" w:line="180" w:lineRule="exact"/>
        <w:rPr>
          <w:sz w:val="20"/>
          <w:szCs w:val="20"/>
          <w:color w:val="auto"/>
        </w:rPr>
      </w:pPr>
    </w:p>
    <w:p>
      <w:pPr>
        <w:jc w:val="both"/>
        <w:ind w:left="321" w:firstLine="745"/>
        <w:spacing w:after="0" w:line="237" w:lineRule="auto"/>
        <w:tabs>
          <w:tab w:leader="none" w:pos="1608"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abide by any applicable common law and/or statutory obligations relating to the protection and non-disclosure of the Company’s trade secrets and/or confidential and proprietary documents and information, and you specifically agree that you will not disclose any confidential or proprietary information that you acquired as an employee of the Company to any other person or entity, or use such information in any manner that is detrimental to the interests of the Company.</w:t>
      </w:r>
    </w:p>
    <w:p>
      <w:pPr>
        <w:spacing w:after="0" w:line="176" w:lineRule="exact"/>
        <w:rPr>
          <w:rFonts w:ascii="Times New Roman" w:cs="Times New Roman" w:eastAsia="Times New Roman" w:hAnsi="Times New Roman"/>
          <w:sz w:val="22"/>
          <w:szCs w:val="22"/>
          <w:color w:val="auto"/>
        </w:rPr>
      </w:pPr>
    </w:p>
    <w:p>
      <w:pPr>
        <w:jc w:val="both"/>
        <w:ind w:left="321" w:firstLine="745"/>
        <w:spacing w:after="0" w:line="260" w:lineRule="auto"/>
        <w:tabs>
          <w:tab w:leader="none" w:pos="1608"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Defend Trade Secrets Act Notice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Notwithstanding your confidentiality and nondisclosure obligations, you are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7" w:lineRule="exact"/>
        <w:rPr>
          <w:rFonts w:ascii="Times New Roman" w:cs="Times New Roman" w:eastAsia="Times New Roman" w:hAnsi="Times New Roman"/>
          <w:sz w:val="20"/>
          <w:szCs w:val="20"/>
          <w:color w:val="auto"/>
        </w:rPr>
      </w:pPr>
    </w:p>
    <w:p>
      <w:pPr>
        <w:jc w:val="both"/>
        <w:ind w:left="-439" w:firstLine="757"/>
        <w:spacing w:after="0" w:line="236" w:lineRule="auto"/>
        <w:tabs>
          <w:tab w:leader="none" w:pos="579"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and Cooperation. </w:t>
      </w:r>
      <w:r>
        <w:rPr>
          <w:rFonts w:ascii="Times New Roman" w:cs="Times New Roman" w:eastAsia="Times New Roman" w:hAnsi="Times New Roman"/>
          <w:sz w:val="22"/>
          <w:szCs w:val="22"/>
          <w:color w:val="auto"/>
        </w:rPr>
        <w:t>Following the Separation Date, you agree to make yourself reasonably available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provide any information related to the transition of your duties. You further agree to reasonably cooperate with and assist the Company as reasonably requested by the Company, with respect to any investigation, litigation, proceeding, arbitration or other formal or informal dispute resolution effort in which you are or have had involvement, is in regard to events that occurred during your tenure with the Company, or with respect to which you have relevant information by being reasonably available (i) to consult with the Company’s counsel, and (ii) for interviews, depositions and/or testimony in regard to any such matters, except with respect to any such matter to which you are or may become a party.</w:t>
      </w:r>
    </w:p>
    <w:p>
      <w:pPr>
        <w:spacing w:after="0" w:line="173" w:lineRule="exact"/>
        <w:rPr>
          <w:rFonts w:ascii="Times New Roman" w:cs="Times New Roman" w:eastAsia="Times New Roman" w:hAnsi="Times New Roman"/>
          <w:sz w:val="22"/>
          <w:szCs w:val="22"/>
          <w:b w:val="1"/>
          <w:bCs w:val="1"/>
          <w:color w:val="auto"/>
        </w:rPr>
      </w:pPr>
    </w:p>
    <w:p>
      <w:pPr>
        <w:ind w:left="-439" w:firstLine="757"/>
        <w:spacing w:after="0" w:line="261" w:lineRule="auto"/>
        <w:tabs>
          <w:tab w:leader="none" w:pos="579"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Non-Filing of Complaint or Charges</w:t>
      </w:r>
      <w:r>
        <w:rPr>
          <w:rFonts w:ascii="Times New Roman" w:cs="Times New Roman" w:eastAsia="Times New Roman" w:hAnsi="Times New Roman"/>
          <w:sz w:val="22"/>
          <w:szCs w:val="22"/>
          <w:color w:val="auto"/>
        </w:rPr>
        <w:t>. You represent that you have not filed or asserted any cause of action,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or other action or proceeding against the Company.</w:t>
      </w:r>
    </w:p>
    <w:p>
      <w:pPr>
        <w:spacing w:after="0" w:line="150" w:lineRule="exact"/>
        <w:rPr>
          <w:rFonts w:ascii="Times New Roman" w:cs="Times New Roman" w:eastAsia="Times New Roman" w:hAnsi="Times New Roman"/>
          <w:sz w:val="22"/>
          <w:szCs w:val="22"/>
          <w:b w:val="1"/>
          <w:bCs w:val="1"/>
          <w:color w:val="auto"/>
        </w:rPr>
      </w:pPr>
    </w:p>
    <w:p>
      <w:pPr>
        <w:jc w:val="both"/>
        <w:ind w:left="-439" w:firstLine="757"/>
        <w:spacing w:after="0" w:line="238" w:lineRule="auto"/>
        <w:tabs>
          <w:tab w:leader="none" w:pos="579" w:val="left"/>
        </w:tabs>
        <w:numPr>
          <w:ilvl w:val="1"/>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Knowledge of Misconduct</w:t>
      </w:r>
      <w:r>
        <w:rPr>
          <w:rFonts w:ascii="Times New Roman" w:cs="Times New Roman" w:eastAsia="Times New Roman" w:hAnsi="Times New Roman"/>
          <w:sz w:val="22"/>
          <w:szCs w:val="22"/>
          <w:color w:val="auto"/>
        </w:rPr>
        <w:t>. You represent that during the term of your employment with the Company, you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all times conducted yourself in a lawful manner and that you are unaware of any act or omission on your part or the part of the Company that may constitute a violation of any law, regulation, or order, nor do you know of any basis on which any third party or governmental entity could assert such a claim. This expressly includes any and all conduct that potentially could give rise to claims under the Sarbanes-Oxley Act of 2002. You</w:t>
      </w:r>
    </w:p>
    <w:p>
      <w:pPr>
        <w:spacing w:after="0" w:line="200" w:lineRule="exact"/>
        <w:rPr>
          <w:rFonts w:ascii="Times New Roman" w:cs="Times New Roman" w:eastAsia="Times New Roman" w:hAnsi="Times New Roman"/>
          <w:sz w:val="22"/>
          <w:szCs w:val="22"/>
          <w:b w:val="1"/>
          <w:bCs w:val="1"/>
          <w:color w:val="auto"/>
        </w:rPr>
      </w:pPr>
    </w:p>
    <w:p>
      <w:pPr>
        <w:spacing w:after="0" w:line="383" w:lineRule="exact"/>
        <w:rPr>
          <w:rFonts w:ascii="Times New Roman" w:cs="Times New Roman" w:eastAsia="Times New Roman" w:hAnsi="Times New Roman"/>
          <w:sz w:val="22"/>
          <w:szCs w:val="22"/>
          <w:b w:val="1"/>
          <w:bCs w:val="1"/>
          <w:color w:val="auto"/>
        </w:rPr>
      </w:pPr>
    </w:p>
    <w:p>
      <w:pPr>
        <w:ind w:left="121" w:hanging="121"/>
        <w:spacing w:after="0"/>
        <w:tabs>
          <w:tab w:leader="none" w:pos="1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759" w:top="1407" w:right="339" w:bottom="1440" w:gutter="0" w:footer="0" w:header="0"/>
        </w:sectPr>
      </w:pPr>
    </w:p>
    <w:bookmarkStart w:id="108" w:name="page109"/>
    <w:bookmarkEnd w:id="108"/>
    <w:p>
      <w:pPr>
        <w:jc w:val="both"/>
        <w:spacing w:after="0" w:line="244" w:lineRule="auto"/>
        <w:rPr>
          <w:sz w:val="20"/>
          <w:szCs w:val="20"/>
          <w:color w:val="auto"/>
        </w:rPr>
      </w:pPr>
      <w:r>
        <w:rPr>
          <w:rFonts w:ascii="Times New Roman" w:cs="Times New Roman" w:eastAsia="Times New Roman" w:hAnsi="Times New Roman"/>
          <w:sz w:val="22"/>
          <w:szCs w:val="22"/>
          <w:color w:val="auto"/>
        </w:rPr>
        <w:t>further represent that you have disclosed any misconduct of which you are aware, including potential violations of Company policies. You further affirm that you have no information concerning any conduct involving the Company that involves any false claims to the United States.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10.Release of All Claims.</w:t>
      </w:r>
    </w:p>
    <w:p>
      <w:pPr>
        <w:spacing w:after="0" w:line="209" w:lineRule="exact"/>
        <w:rPr>
          <w:sz w:val="20"/>
          <w:szCs w:val="20"/>
          <w:color w:val="auto"/>
        </w:rPr>
      </w:pPr>
    </w:p>
    <w:p>
      <w:pPr>
        <w:jc w:val="both"/>
        <w:ind w:left="760" w:firstLine="745"/>
        <w:spacing w:after="0" w:line="233" w:lineRule="auto"/>
        <w:tabs>
          <w:tab w:leader="none" w:pos="20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hereby acknowledge and agree that by signing this Agreement and accepting the Severance Payment, you are waiving your right to assert any form of legal claim against the Company of any kind whatsoever from the beginning of time through and including the date you sign this Agreement, except for claims related to the Company’s failure to perform its obligations under this Agreement. Your waiver and release is intended to bar any form of legal claim, charge, complaint or any other form of action (jointly referred to as “Claims”) (specifically including any claims of breach of contract whether express or implied, and claims sounding in intentional or unintentional torts such as negligence and fraud, and any statutory or regulatory claims) against the Company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the Company up through and including the date you sign this Agreement. You understand that there could be unknown or unanticipated Claims resulting from your employment with the Company and the termination thereof and agree that such Claims are intended to be, and are, included in this waiver and release.</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herby acknowledges and agrees that by signing this Agreement and accepting the consideration herein, the Company is waiving its right to assert any form of legal claim against you, Kevin S. Boyle, Sr., of any kind whatsoever from the beginning of time through and including the Separation Date, except for claims related to any failure to perform your obligations under this Agreement. The Company’s waiver and release is intended to bar any Claims against you seeking any form of relief including, without limitation, equitable relief (whether declaratory, injunctive or otherwise), the recovery of any damages or any other form of monetary recovery whatsoever (including, without limitation, compensatory damages, emotional distress damages, punitive damages, attorneys’ fees and any other costs) against you up through and including the Separation Date. The Company understands that there could be unknown or unanticipated Claims resulting from your employment with the Company and the termination thereof and agree that such Claims are intended to be, and are, included in this waiver and release.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general waiver and release, you specifically waive and release the Company from any Claims arising from or related to your employment relationship with the Company or the termination thereof, and the Company specifically waives and releases you from any Claims arising from or related to your employment relationship with the Company, including without limitation:</w:t>
      </w:r>
    </w:p>
    <w:p>
      <w:pPr>
        <w:spacing w:after="0" w:line="178" w:lineRule="exact"/>
        <w:rPr>
          <w:rFonts w:ascii="Times New Roman" w:cs="Times New Roman" w:eastAsia="Times New Roman" w:hAnsi="Times New Roman"/>
          <w:sz w:val="22"/>
          <w:szCs w:val="22"/>
          <w:color w:val="auto"/>
        </w:rPr>
      </w:pPr>
    </w:p>
    <w:p>
      <w:pPr>
        <w:ind w:left="1500" w:firstLine="754"/>
        <w:spacing w:after="0" w:line="258" w:lineRule="auto"/>
        <w:tabs>
          <w:tab w:leader="none" w:pos="2548"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local, state or federal discrimination, harassment, fair employment practices or other employment related statute, regulation or</w:t>
      </w:r>
    </w:p>
    <w:p>
      <w:pPr>
        <w:spacing w:after="0" w:line="200" w:lineRule="exact"/>
        <w:rPr>
          <w:rFonts w:ascii="Times New Roman" w:cs="Times New Roman" w:eastAsia="Times New Roman" w:hAnsi="Times New Roman"/>
          <w:sz w:val="22"/>
          <w:szCs w:val="22"/>
          <w:color w:val="auto"/>
        </w:rPr>
      </w:pPr>
    </w:p>
    <w:p>
      <w:pPr>
        <w:spacing w:after="0" w:line="361" w:lineRule="exact"/>
        <w:rPr>
          <w:rFonts w:ascii="Times New Roman" w:cs="Times New Roman" w:eastAsia="Times New Roman" w:hAnsi="Times New Roman"/>
          <w:sz w:val="22"/>
          <w:szCs w:val="22"/>
          <w:color w:val="auto"/>
        </w:rPr>
      </w:pPr>
    </w:p>
    <w:p>
      <w:pPr>
        <w:ind w:left="560" w:hanging="121"/>
        <w:spacing w:after="0"/>
        <w:tabs>
          <w:tab w:leader="none" w:pos="5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9" w:name="page110"/>
    <w:bookmarkEnd w:id="109"/>
    <w:p>
      <w:pPr>
        <w:jc w:val="both"/>
        <w:ind w:left="1061"/>
        <w:spacing w:after="0" w:line="237" w:lineRule="auto"/>
        <w:rPr>
          <w:sz w:val="20"/>
          <w:szCs w:val="20"/>
          <w:color w:val="auto"/>
        </w:rPr>
      </w:pPr>
      <w:r>
        <w:rPr>
          <w:rFonts w:ascii="Times New Roman" w:cs="Times New Roman" w:eastAsia="Times New Roman" w:hAnsi="Times New Roman"/>
          <w:sz w:val="22"/>
          <w:szCs w:val="22"/>
          <w:color w:val="auto"/>
        </w:rPr>
        <w:t>executive order, including, without limitation, the Age Discrimination in Employment Act, the Older Workers Benefits Protection Act (“OWBPA”), the Americans with Disabilities Act, the Genetic Information Nondiscrimination Act, the Pregnancy Discrimination Act, the Worker Adjustment and Retraining Notification Act, the National Labor Relations Act, the Civil Rights Act of 1991, and Title VII of the Civil Rights Act of 1964, each as they may have been amended through the date you sign this Agreement;</w:t>
      </w:r>
    </w:p>
    <w:p>
      <w:pPr>
        <w:spacing w:after="0" w:line="180" w:lineRule="exact"/>
        <w:rPr>
          <w:sz w:val="20"/>
          <w:szCs w:val="20"/>
          <w:color w:val="auto"/>
        </w:rPr>
      </w:pPr>
    </w:p>
    <w:p>
      <w:pPr>
        <w:jc w:val="both"/>
        <w:ind w:left="1061" w:firstLine="754"/>
        <w:spacing w:after="0" w:line="266" w:lineRule="auto"/>
        <w:tabs>
          <w:tab w:leader="none" w:pos="2109" w:val="left"/>
        </w:tabs>
        <w:numPr>
          <w:ilvl w:val="3"/>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under any local, state or federal employment related statute, regulation or executive order relating to wages, hours, whistleblowing, leaves of absence or any other terms and conditions of employment, including, without limitation, the Fair Labor Standards Act, the Equal Pay Act of 1963, and the Family and Medical Leave Act, in its entirety (including, without limitation, the sections concerning payment of wages, minimum wage and overtime), each as they may have been amended through the date you sign this Agreement;</w:t>
      </w:r>
    </w:p>
    <w:p>
      <w:pPr>
        <w:spacing w:after="0" w:line="154" w:lineRule="exact"/>
        <w:rPr>
          <w:rFonts w:ascii="Times New Roman" w:cs="Times New Roman" w:eastAsia="Times New Roman" w:hAnsi="Times New Roman"/>
          <w:sz w:val="20"/>
          <w:szCs w:val="20"/>
          <w:color w:val="auto"/>
        </w:rPr>
      </w:pPr>
    </w:p>
    <w:p>
      <w:pPr>
        <w:ind w:left="2121" w:hanging="306"/>
        <w:spacing w:after="0"/>
        <w:tabs>
          <w:tab w:leader="none" w:pos="2121"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any local, state or federal common law theory; and</w:t>
      </w:r>
    </w:p>
    <w:p>
      <w:pPr>
        <w:spacing w:after="0" w:line="205" w:lineRule="exact"/>
        <w:rPr>
          <w:rFonts w:ascii="Times New Roman" w:cs="Times New Roman" w:eastAsia="Times New Roman" w:hAnsi="Times New Roman"/>
          <w:sz w:val="22"/>
          <w:szCs w:val="22"/>
          <w:color w:val="auto"/>
        </w:rPr>
      </w:pPr>
    </w:p>
    <w:p>
      <w:pPr>
        <w:ind w:left="2121" w:hanging="306"/>
        <w:spacing w:after="0"/>
        <w:tabs>
          <w:tab w:leader="none" w:pos="2121"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Claim arising under other local, state or federal law.</w:t>
      </w:r>
    </w:p>
    <w:p>
      <w:pPr>
        <w:spacing w:after="0" w:line="205" w:lineRule="exact"/>
        <w:rPr>
          <w:rFonts w:ascii="Times New Roman" w:cs="Times New Roman" w:eastAsia="Times New Roman" w:hAnsi="Times New Roman"/>
          <w:sz w:val="22"/>
          <w:szCs w:val="22"/>
          <w:color w:val="auto"/>
        </w:rPr>
      </w:pPr>
    </w:p>
    <w:p>
      <w:pPr>
        <w:ind w:left="321" w:firstLine="745"/>
        <w:spacing w:after="0" w:line="258" w:lineRule="auto"/>
        <w:tabs>
          <w:tab w:leader="none" w:pos="160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release in this Section 10 is not affected or limited by the recitation of the specific releases in this Section 10.</w:t>
      </w:r>
    </w:p>
    <w:p>
      <w:pPr>
        <w:spacing w:after="0" w:line="157" w:lineRule="exact"/>
        <w:rPr>
          <w:rFonts w:ascii="Times New Roman" w:cs="Times New Roman" w:eastAsia="Times New Roman" w:hAnsi="Times New Roman"/>
          <w:sz w:val="22"/>
          <w:szCs w:val="22"/>
          <w:color w:val="auto"/>
        </w:rPr>
      </w:pPr>
    </w:p>
    <w:p>
      <w:pPr>
        <w:jc w:val="both"/>
        <w:ind w:left="321" w:firstLine="745"/>
        <w:spacing w:after="0" w:line="234" w:lineRule="auto"/>
        <w:tabs>
          <w:tab w:leader="none" w:pos="160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federal and state discrimination laws, nothing in this release shall be deemed to prohibit you from challenging the validity of this release under federal or state discrimination laws or from filing a charge or complaint of age or other employment related discrimination with the Equal Employment Opportunity Commission (“EEOC”) or similar state agency, or from participating in any investigation or proceeding conducted by the EEOC or similar state agency. Further, nothing in this release or Agreement shall be deemed to limit the Company’s right to seek immediate dismissal of such charge or complaint on the basis that your signing of this Agreement constitutes a full release of any individual rights under federal or state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federal or state discrimination laws.</w:t>
      </w:r>
    </w:p>
    <w:p>
      <w:pPr>
        <w:spacing w:after="0" w:line="176" w:lineRule="exact"/>
        <w:rPr>
          <w:rFonts w:ascii="Times New Roman" w:cs="Times New Roman" w:eastAsia="Times New Roman" w:hAnsi="Times New Roman"/>
          <w:sz w:val="22"/>
          <w:szCs w:val="22"/>
          <w:color w:val="auto"/>
        </w:rPr>
      </w:pPr>
    </w:p>
    <w:p>
      <w:pPr>
        <w:ind w:left="321" w:firstLine="745"/>
        <w:spacing w:after="0" w:line="258" w:lineRule="auto"/>
        <w:tabs>
          <w:tab w:leader="none" w:pos="1608"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release in this Section 10 shall not limit any right you may have to receive a whistleblower award or bounty for information provided to the Securities and Exchange Commission.</w:t>
      </w:r>
    </w:p>
    <w:p>
      <w:pPr>
        <w:spacing w:after="0" w:line="153" w:lineRule="exact"/>
        <w:rPr>
          <w:rFonts w:ascii="Times New Roman" w:cs="Times New Roman" w:eastAsia="Times New Roman" w:hAnsi="Times New Roman"/>
          <w:sz w:val="22"/>
          <w:szCs w:val="22"/>
          <w:color w:val="auto"/>
        </w:rPr>
      </w:pPr>
    </w:p>
    <w:p>
      <w:pPr>
        <w:jc w:val="both"/>
        <w:ind w:left="-439" w:firstLine="757"/>
        <w:spacing w:after="0" w:line="272" w:lineRule="auto"/>
        <w:tabs>
          <w:tab w:leader="none" w:pos="579"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Important Notice Regarding Release of Claims of Age Discrimination. </w:t>
      </w:r>
      <w:r>
        <w:rPr>
          <w:rFonts w:ascii="Times New Roman" w:cs="Times New Roman" w:eastAsia="Times New Roman" w:hAnsi="Times New Roman"/>
          <w:sz w:val="20"/>
          <w:szCs w:val="20"/>
          <w:color w:val="auto"/>
        </w:rPr>
        <w:t>You acknowledge that you knowingly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voluntarily enter into this Agreement with the purpose of waiving and releasing any age discrimination claims you may have under the Age Discrimination in Employment Act (“ADEA”), including the Older Workers Benefit Protection Act (“OWBPA”), and you acknowledge and agree that:</w:t>
      </w:r>
    </w:p>
    <w:p>
      <w:pPr>
        <w:spacing w:after="0" w:line="148" w:lineRule="exact"/>
        <w:rPr>
          <w:rFonts w:ascii="Times New Roman" w:cs="Times New Roman" w:eastAsia="Times New Roman" w:hAnsi="Times New Roman"/>
          <w:sz w:val="20"/>
          <w:szCs w:val="20"/>
          <w:b w:val="1"/>
          <w:bCs w:val="1"/>
          <w:color w:val="auto"/>
        </w:rPr>
      </w:pPr>
    </w:p>
    <w:p>
      <w:pPr>
        <w:ind w:left="1601" w:hanging="535"/>
        <w:spacing w:after="0"/>
        <w:tabs>
          <w:tab w:leader="none" w:pos="160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written in a manner in which you fully understand;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121" w:hanging="121"/>
        <w:spacing w:after="0"/>
        <w:tabs>
          <w:tab w:leader="none" w:pos="12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759" w:top="1407" w:right="339" w:bottom="1440" w:gutter="0" w:footer="0" w:header="0"/>
        </w:sectPr>
      </w:pPr>
    </w:p>
    <w:bookmarkStart w:id="110" w:name="page111"/>
    <w:bookmarkEnd w:id="110"/>
    <w:p>
      <w:pPr>
        <w:ind w:left="1601" w:hanging="535"/>
        <w:spacing w:after="0"/>
        <w:tabs>
          <w:tab w:leader="none" w:pos="160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specifically waive any rights or claims arising under the ADEA;</w:t>
      </w:r>
    </w:p>
    <w:p>
      <w:pPr>
        <w:spacing w:after="0" w:line="205" w:lineRule="exact"/>
        <w:rPr>
          <w:rFonts w:ascii="Times New Roman" w:cs="Times New Roman" w:eastAsia="Times New Roman" w:hAnsi="Times New Roman"/>
          <w:sz w:val="22"/>
          <w:szCs w:val="22"/>
          <w:color w:val="auto"/>
        </w:rPr>
      </w:pPr>
    </w:p>
    <w:p>
      <w:pPr>
        <w:ind w:left="1601" w:hanging="535"/>
        <w:spacing w:after="0"/>
        <w:tabs>
          <w:tab w:leader="none" w:pos="160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agreement to all of the terms set forth in this Agreement is knowing and voluntary;</w:t>
      </w:r>
    </w:p>
    <w:p>
      <w:pPr>
        <w:spacing w:after="0" w:line="205" w:lineRule="exact"/>
        <w:rPr>
          <w:rFonts w:ascii="Times New Roman" w:cs="Times New Roman" w:eastAsia="Times New Roman" w:hAnsi="Times New Roman"/>
          <w:sz w:val="22"/>
          <w:szCs w:val="22"/>
          <w:color w:val="auto"/>
        </w:rPr>
      </w:pPr>
    </w:p>
    <w:p>
      <w:pPr>
        <w:ind w:left="1601" w:hanging="535"/>
        <w:spacing w:after="0"/>
        <w:tabs>
          <w:tab w:leader="none" w:pos="160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not waiving rights or claims under the ADEA that may arise after the date this Agreement is</w:t>
      </w:r>
    </w:p>
    <w:p>
      <w:pPr>
        <w:spacing w:after="0" w:line="13" w:lineRule="exact"/>
        <w:rPr>
          <w:rFonts w:ascii="Times New Roman" w:cs="Times New Roman" w:eastAsia="Times New Roman" w:hAnsi="Times New Roman"/>
          <w:sz w:val="22"/>
          <w:szCs w:val="22"/>
          <w:color w:val="auto"/>
        </w:rPr>
      </w:pPr>
    </w:p>
    <w:p>
      <w:pPr>
        <w:ind w:left="32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w:t>
      </w:r>
    </w:p>
    <w:p>
      <w:pPr>
        <w:spacing w:after="0" w:line="181" w:lineRule="exact"/>
        <w:rPr>
          <w:rFonts w:ascii="Times New Roman" w:cs="Times New Roman" w:eastAsia="Times New Roman" w:hAnsi="Times New Roman"/>
          <w:sz w:val="22"/>
          <w:szCs w:val="22"/>
          <w:color w:val="auto"/>
        </w:rPr>
      </w:pPr>
    </w:p>
    <w:p>
      <w:pPr>
        <w:ind w:left="321" w:firstLine="745"/>
        <w:spacing w:after="0" w:line="258" w:lineRule="auto"/>
        <w:tabs>
          <w:tab w:leader="none" w:pos="16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claims waived in this Agreement are in exchange for consideration over and above anything to which you are already entitled;</w:t>
      </w:r>
    </w:p>
    <w:p>
      <w:pPr>
        <w:spacing w:after="0" w:line="157" w:lineRule="exact"/>
        <w:rPr>
          <w:rFonts w:ascii="Times New Roman" w:cs="Times New Roman" w:eastAsia="Times New Roman" w:hAnsi="Times New Roman"/>
          <w:sz w:val="22"/>
          <w:szCs w:val="22"/>
          <w:color w:val="auto"/>
        </w:rPr>
      </w:pPr>
    </w:p>
    <w:p>
      <w:pPr>
        <w:ind w:left="321" w:firstLine="745"/>
        <w:spacing w:after="0" w:line="258" w:lineRule="auto"/>
        <w:tabs>
          <w:tab w:leader="none" w:pos="16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been and are hereby advised in writing to consult with an attorney prior to executing this Agreement, and has, in fact, had an opportunity to do so; and</w:t>
      </w:r>
    </w:p>
    <w:p>
      <w:pPr>
        <w:spacing w:after="0" w:line="153" w:lineRule="exact"/>
        <w:rPr>
          <w:rFonts w:ascii="Times New Roman" w:cs="Times New Roman" w:eastAsia="Times New Roman" w:hAnsi="Times New Roman"/>
          <w:sz w:val="22"/>
          <w:szCs w:val="22"/>
          <w:color w:val="auto"/>
        </w:rPr>
      </w:pPr>
    </w:p>
    <w:p>
      <w:pPr>
        <w:ind w:left="321" w:firstLine="745"/>
        <w:spacing w:after="0" w:line="261" w:lineRule="auto"/>
        <w:tabs>
          <w:tab w:leader="none" w:pos="16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required pursuant to the OWBPA, you are being provided with information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Agreement which employees are eligible for Severance Payment.</w:t>
      </w:r>
    </w:p>
    <w:p>
      <w:pPr>
        <w:spacing w:after="0" w:line="15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2"/>
          <w:szCs w:val="22"/>
          <w:b w:val="1"/>
          <w:bCs w:val="1"/>
          <w:color w:val="auto"/>
        </w:rPr>
        <w:t>12.Time for Acceptance; Effective Date.</w:t>
      </w:r>
    </w:p>
    <w:p>
      <w:pPr>
        <w:spacing w:after="0" w:line="209" w:lineRule="exact"/>
        <w:rPr>
          <w:sz w:val="20"/>
          <w:szCs w:val="20"/>
          <w:color w:val="auto"/>
        </w:rPr>
      </w:pPr>
    </w:p>
    <w:p>
      <w:pPr>
        <w:jc w:val="both"/>
        <w:ind w:left="321" w:firstLine="745"/>
        <w:spacing w:after="0" w:line="235" w:lineRule="auto"/>
        <w:tabs>
          <w:tab w:leader="none" w:pos="160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been given a period of up to forty-five (45) calendar days, if desired, within which to consider this Agreement and, in the event you decide to execute this Agreement in fewer than forty-five (45) calendar days, you acknowledge that you have done so with the express understanding that you have been given and declined the opportunity to consider this Agreement for a full forty-five (45) calendar days. You further acknowledge that your decision to sign the Agreement in fewer than forty-five (45) calendar days was not induced by the Company through fraud, misrepresentation, or a threat to withdraw or alter the offer prior to the expiration of the forty-five (45) day time period.</w:t>
      </w:r>
    </w:p>
    <w:p>
      <w:pPr>
        <w:spacing w:after="0" w:line="180" w:lineRule="exact"/>
        <w:rPr>
          <w:rFonts w:ascii="Times New Roman" w:cs="Times New Roman" w:eastAsia="Times New Roman" w:hAnsi="Times New Roman"/>
          <w:sz w:val="22"/>
          <w:szCs w:val="22"/>
          <w:color w:val="auto"/>
        </w:rPr>
      </w:pPr>
    </w:p>
    <w:p>
      <w:pPr>
        <w:jc w:val="both"/>
        <w:ind w:left="321" w:firstLine="745"/>
        <w:spacing w:after="0" w:line="234" w:lineRule="auto"/>
        <w:tabs>
          <w:tab w:leader="none" w:pos="160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the right to revoke this waiver and release of any claims under the ADEA covered by this Agreement within seven (7) calendar days from the date you execute this Agreement (the “Revocation Period”). This Agreement shall not be effective until such Revocation Period has expired without you having exercised your revocation rights. Thus, this Agreement will become final, binding and enforceable on the eighth (8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calendar day after you execute and deliver this Agreement to the Company (“the Effective Date”), provided it has not been duly revoked in accordance with the terms herein. Notice of revocation must be made in writing and received by the Company prior to the conclusion of the Revocation Period. In order to constitute notice of acceptance and/or revocation hereunder, such notice must be delivered to Michael Wong, Vice President, Finance at info@alaunos.com.</w:t>
      </w:r>
    </w:p>
    <w:p>
      <w:pPr>
        <w:spacing w:after="0" w:line="184" w:lineRule="exact"/>
        <w:rPr>
          <w:rFonts w:ascii="Times New Roman" w:cs="Times New Roman" w:eastAsia="Times New Roman" w:hAnsi="Times New Roman"/>
          <w:sz w:val="22"/>
          <w:szCs w:val="22"/>
          <w:color w:val="auto"/>
        </w:rPr>
      </w:pPr>
    </w:p>
    <w:p>
      <w:pPr>
        <w:jc w:val="both"/>
        <w:ind w:left="321" w:firstLine="745"/>
        <w:spacing w:after="0" w:line="244" w:lineRule="auto"/>
        <w:tabs>
          <w:tab w:leader="none" w:pos="160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null and void and no Separation Payment or other benefit offered to you pursuant to Paragraph 6 above will be paid if: (i) you do not sign it within the forty-five (45) day period, or (iii) you revoke your execution within the Revocation Period.</w:t>
      </w: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121" w:hanging="121"/>
        <w:spacing w:after="0"/>
        <w:tabs>
          <w:tab w:leader="none" w:pos="12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759" w:top="1407" w:right="339" w:bottom="1440" w:gutter="0" w:footer="0" w:header="0"/>
        </w:sectPr>
      </w:pPr>
    </w:p>
    <w:bookmarkStart w:id="111" w:name="page112"/>
    <w:bookmarkEnd w:id="111"/>
    <w:p>
      <w:pPr>
        <w:ind w:left="321"/>
        <w:spacing w:after="0"/>
        <w:rPr>
          <w:sz w:val="20"/>
          <w:szCs w:val="20"/>
          <w:color w:val="auto"/>
        </w:rPr>
      </w:pPr>
      <w:r>
        <w:rPr>
          <w:rFonts w:ascii="Times New Roman" w:cs="Times New Roman" w:eastAsia="Times New Roman" w:hAnsi="Times New Roman"/>
          <w:sz w:val="22"/>
          <w:szCs w:val="22"/>
          <w:b w:val="1"/>
          <w:bCs w:val="1"/>
          <w:color w:val="auto"/>
        </w:rPr>
        <w:t>13.Miscellaneous.</w:t>
      </w:r>
    </w:p>
    <w:p>
      <w:pPr>
        <w:spacing w:after="0" w:line="209" w:lineRule="exact"/>
        <w:rPr>
          <w:sz w:val="20"/>
          <w:szCs w:val="20"/>
          <w:color w:val="auto"/>
        </w:rPr>
      </w:pPr>
    </w:p>
    <w:p>
      <w:pPr>
        <w:ind w:left="321" w:firstLine="745"/>
        <w:spacing w:after="0" w:line="258"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This Agreement does not constitute an allegation, admission or acknowledgment by any party of any unlawful or improper act or conduct, all of which is expressly denied.</w:t>
      </w:r>
    </w:p>
    <w:p>
      <w:pPr>
        <w:spacing w:after="0" w:line="157" w:lineRule="exact"/>
        <w:rPr>
          <w:rFonts w:ascii="Times New Roman" w:cs="Times New Roman" w:eastAsia="Times New Roman" w:hAnsi="Times New Roman"/>
          <w:sz w:val="22"/>
          <w:szCs w:val="22"/>
          <w:color w:val="auto"/>
        </w:rPr>
      </w:pPr>
    </w:p>
    <w:p>
      <w:pPr>
        <w:jc w:val="both"/>
        <w:ind w:left="321" w:firstLine="745"/>
        <w:spacing w:after="0" w:line="261" w:lineRule="auto"/>
        <w:tabs>
          <w:tab w:leader="none" w:pos="1608"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constitutes the full understanding and entire Agreement between you and the Company and supersedes any other agreements of any kind, whether oral or written, formal or informal;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you shall remain bound by your continuing obligations to preserve the Company’s trade secrets,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intellectual property, and confidential information, and you and the Company expressly agree that except for the non-competition obligation set forth in Section 3, which the Company hereby waives, the Invention, Non-Disclosure, Non-Solicitation and Non-Competition Agreement that you signed with the Company (a copy of which is provided in your packet) shall remain in full force and effect. The parties represent and acknowledge that in signing this Agreement, each has not relied upon any representation or statement made by the other not set forth in this Agreement.</w:t>
      </w:r>
    </w:p>
    <w:p>
      <w:pPr>
        <w:spacing w:after="0" w:line="156" w:lineRule="exact"/>
        <w:rPr>
          <w:rFonts w:ascii="Times New Roman" w:cs="Times New Roman" w:eastAsia="Times New Roman" w:hAnsi="Times New Roman"/>
          <w:sz w:val="20"/>
          <w:szCs w:val="20"/>
          <w:color w:val="auto"/>
        </w:rPr>
      </w:pPr>
    </w:p>
    <w:p>
      <w:pPr>
        <w:jc w:val="both"/>
        <w:ind w:left="321" w:firstLine="745"/>
        <w:spacing w:after="0" w:line="244"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parties agree that the failure of a party at any time to require performance of any provision of this Agreement shall not affect, diminish, obviate or void in any way the party’s full right or ability to require performance of the same or any other provision of this Agreement at any time thereafter.</w:t>
      </w:r>
    </w:p>
    <w:p>
      <w:pPr>
        <w:spacing w:after="0" w:line="172" w:lineRule="exact"/>
        <w:rPr>
          <w:rFonts w:ascii="Times New Roman" w:cs="Times New Roman" w:eastAsia="Times New Roman" w:hAnsi="Times New Roman"/>
          <w:sz w:val="22"/>
          <w:szCs w:val="22"/>
          <w:color w:val="auto"/>
        </w:rPr>
      </w:pPr>
    </w:p>
    <w:p>
      <w:pPr>
        <w:jc w:val="both"/>
        <w:ind w:left="321" w:firstLine="745"/>
        <w:spacing w:after="0" w:line="244"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and Assigns</w:t>
      </w:r>
      <w:r>
        <w:rPr>
          <w:rFonts w:ascii="Times New Roman" w:cs="Times New Roman" w:eastAsia="Times New Roman" w:hAnsi="Times New Roman"/>
          <w:sz w:val="22"/>
          <w:szCs w:val="22"/>
          <w:color w:val="auto"/>
        </w:rPr>
        <w:t>. The rights and benefits of the Company under this Agreement shall be assignable to any successor, related or affiliated entity. All rights and obligations under this Agreement shall inure to the benefit of and be binding upon your successors but shall be personal and non-assignable by you.</w:t>
      </w:r>
    </w:p>
    <w:p>
      <w:pPr>
        <w:spacing w:after="0" w:line="172" w:lineRule="exact"/>
        <w:rPr>
          <w:rFonts w:ascii="Times New Roman" w:cs="Times New Roman" w:eastAsia="Times New Roman" w:hAnsi="Times New Roman"/>
          <w:sz w:val="22"/>
          <w:szCs w:val="22"/>
          <w:color w:val="auto"/>
        </w:rPr>
      </w:pPr>
    </w:p>
    <w:p>
      <w:pPr>
        <w:jc w:val="both"/>
        <w:ind w:left="321" w:firstLine="745"/>
        <w:spacing w:after="0" w:line="237"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construed in accordance with and governed by the laws of the state of Texas without regard to the conflict of law principles thereof. Both parties agree that any action, demand, claim or counterclaim relating to (i) your employment and separation of your employment, and (ii) the terms and provisions of this Agreement or to its breach, shall be commenced solely and exclusively in the state of Texas in a court of competent jurisdiction.</w:t>
      </w:r>
    </w:p>
    <w:p>
      <w:pPr>
        <w:spacing w:after="0" w:line="180" w:lineRule="exact"/>
        <w:rPr>
          <w:rFonts w:ascii="Times New Roman" w:cs="Times New Roman" w:eastAsia="Times New Roman" w:hAnsi="Times New Roman"/>
          <w:sz w:val="22"/>
          <w:szCs w:val="22"/>
          <w:color w:val="auto"/>
        </w:rPr>
      </w:pPr>
    </w:p>
    <w:p>
      <w:pPr>
        <w:jc w:val="both"/>
        <w:ind w:left="321" w:firstLine="745"/>
        <w:spacing w:after="0" w:line="239"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JURY WAIVER</w:t>
      </w:r>
      <w:r>
        <w:rPr>
          <w:rFonts w:ascii="Times New Roman" w:cs="Times New Roman" w:eastAsia="Times New Roman" w:hAnsi="Times New Roman"/>
          <w:sz w:val="22"/>
          <w:szCs w:val="22"/>
          <w:color w:val="auto"/>
        </w:rPr>
        <w:t>. BOTH PARTIES FURTHER AGREE THAT ANY DISPUTE REGARDING THE COMPLIANCE WITH OR ENFORCEABILITY OF THIS AGREEMENT SHALL BE TRIED BY A JUDGE ALONE, AND BOTH PARTIES HEREBY WAIVE AND FOREVER RENOUNCE THE RIGHT TO A TRIAL BEFORE A CIVIL JURY IN ANY SUCH DISPUTE.</w:t>
      </w:r>
    </w:p>
    <w:p>
      <w:pPr>
        <w:spacing w:after="0" w:line="178" w:lineRule="exact"/>
        <w:rPr>
          <w:rFonts w:ascii="Times New Roman" w:cs="Times New Roman" w:eastAsia="Times New Roman" w:hAnsi="Times New Roman"/>
          <w:sz w:val="22"/>
          <w:szCs w:val="22"/>
          <w:color w:val="auto"/>
        </w:rPr>
      </w:pPr>
    </w:p>
    <w:p>
      <w:pPr>
        <w:jc w:val="both"/>
        <w:ind w:left="321" w:firstLine="745"/>
        <w:spacing w:after="0" w:line="239" w:lineRule="auto"/>
        <w:tabs>
          <w:tab w:leader="none" w:pos="160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This Agreement is intended to be severable. Should any portion, term or provision of this Agreement be declared or determined by any court to be illegal, invalid or unenforceable, the validity of the remaining portions, terms and provisions, and the application of such portion, term or provision in circumstances other than those as to which it is so declared illegal or unenforceable, shall not be affected</w:t>
      </w: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121" w:hanging="121"/>
        <w:spacing w:after="0"/>
        <w:tabs>
          <w:tab w:leader="none" w:pos="12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759" w:top="1403" w:right="339" w:bottom="1440" w:gutter="0" w:footer="0" w:header="0"/>
        </w:sectPr>
      </w:pPr>
    </w:p>
    <w:bookmarkStart w:id="112" w:name="page113"/>
    <w:bookmarkEnd w:id="112"/>
    <w:p>
      <w:pPr>
        <w:ind w:left="760"/>
        <w:spacing w:after="0" w:line="258" w:lineRule="auto"/>
        <w:rPr>
          <w:sz w:val="20"/>
          <w:szCs w:val="20"/>
          <w:color w:val="auto"/>
        </w:rPr>
      </w:pPr>
      <w:r>
        <w:rPr>
          <w:rFonts w:ascii="Times New Roman" w:cs="Times New Roman" w:eastAsia="Times New Roman" w:hAnsi="Times New Roman"/>
          <w:sz w:val="22"/>
          <w:szCs w:val="22"/>
          <w:color w:val="auto"/>
        </w:rPr>
        <w:t>thereby, and the illegal, invalid or unenforceable portion, term or provision shall be valid and enforceable to the fullest extent permitted by applicable law.</w:t>
      </w:r>
    </w:p>
    <w:p>
      <w:pPr>
        <w:spacing w:after="0" w:line="157" w:lineRule="exact"/>
        <w:rPr>
          <w:sz w:val="20"/>
          <w:szCs w:val="20"/>
          <w:color w:val="auto"/>
        </w:rPr>
      </w:pPr>
    </w:p>
    <w:p>
      <w:pPr>
        <w:ind w:left="760" w:firstLine="745"/>
        <w:spacing w:after="0" w:line="258"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headings of the paragraphs of this Agreement are for convenience only and are not binding on any interpretation of this Agreement.</w:t>
      </w:r>
    </w:p>
    <w:p>
      <w:pPr>
        <w:spacing w:after="0" w:line="157"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 variations or modifications hereof shall be deemed valid unless reduced to writing and signed by the Company and you.</w:t>
      </w:r>
    </w:p>
    <w:p>
      <w:pPr>
        <w:spacing w:after="0" w:line="15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It is the Company’s desire and intent to make certain that you fully understand the provisions and effects of this Agreement. To that end, you have been encouraged and given an opportunity to consult with legal counsel. By executing this Agreement, you are acknowledging that (a) you have been afforded sufficient time to understand the provisions and effects of this Agreement and to consult with legal counsel; (b) your agreements and obligations under this Agreement are made voluntarily, knowingly and without duress; and (c) neither the Company nor its agents or representatives have made any representations inconsistent with the provisions of this Agreement.</w:t>
      </w:r>
    </w:p>
    <w:p>
      <w:pPr>
        <w:spacing w:after="0" w:line="6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If you wish to accept this Agreement, please sign and date the Agreement below and return it to me within the time period specified in Section 12.</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wish you every success for the future.</w:t>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u w:val="single" w:color="auto"/>
          <w:color w:val="auto"/>
        </w:rPr>
        <w:t>_/s/ Michael Wong_______</w:t>
      </w:r>
    </w:p>
    <w:p>
      <w:pPr>
        <w:spacing w:after="0" w:line="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Michael Wong</w:t>
      </w:r>
    </w:p>
    <w:p>
      <w:pPr>
        <w:ind w:left="5240"/>
        <w:spacing w:after="0"/>
        <w:rPr>
          <w:sz w:val="20"/>
          <w:szCs w:val="20"/>
          <w:color w:val="auto"/>
        </w:rPr>
      </w:pPr>
      <w:r>
        <w:rPr>
          <w:rFonts w:ascii="Times New Roman" w:cs="Times New Roman" w:eastAsia="Times New Roman" w:hAnsi="Times New Roman"/>
          <w:sz w:val="22"/>
          <w:szCs w:val="22"/>
          <w:color w:val="auto"/>
        </w:rPr>
        <w:t>Vice President, Finance</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By signing this Agreement, I state that I have read it, I understand it, I agree with everything in it and I have signed it knowingly and voluntarily under seal.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_/s/ Kevin S. Boyle, Sr.___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Kevin S. Boyle, 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3" w:name="page114"/>
    <w:bookmarkEnd w:id="113"/>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4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ADEA WAIVER INFORMATION</w:t>
      </w:r>
    </w:p>
    <w:p>
      <w:pPr>
        <w:spacing w:after="0" w:line="200" w:lineRule="exact"/>
        <w:rPr>
          <w:sz w:val="20"/>
          <w:szCs w:val="20"/>
          <w:color w:val="auto"/>
        </w:rPr>
      </w:pPr>
    </w:p>
    <w:p>
      <w:pPr>
        <w:spacing w:after="0" w:line="252" w:lineRule="exact"/>
        <w:rPr>
          <w:sz w:val="20"/>
          <w:szCs w:val="20"/>
          <w:color w:val="auto"/>
        </w:rPr>
      </w:pPr>
    </w:p>
    <w:p>
      <w:pPr>
        <w:ind w:left="1060" w:hanging="369"/>
        <w:spacing w:after="0" w:line="241" w:lineRule="auto"/>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business unit is all personnel employed by Alaunos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its Research &amp; Development, General &amp; Admin, and Technical Operations groups.</w:t>
      </w:r>
    </w:p>
    <w:p>
      <w:pPr>
        <w:spacing w:after="0" w:line="1" w:lineRule="exact"/>
        <w:rPr>
          <w:rFonts w:ascii="Times New Roman" w:cs="Times New Roman" w:eastAsia="Times New Roman" w:hAnsi="Times New Roman"/>
          <w:sz w:val="22"/>
          <w:szCs w:val="22"/>
          <w:color w:val="auto"/>
        </w:rPr>
      </w:pPr>
    </w:p>
    <w:p>
      <w:pPr>
        <w:jc w:val="both"/>
        <w:ind w:left="1060" w:hanging="369"/>
        <w:spacing w:after="0" w:line="230" w:lineRule="auto"/>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job titles listed below were selected or not selected for the elimination of their position and offered severance pay. All individuals who are being offered payment of severance, such offer is contingent upon and subject to entering into a Separation and Release Agreement and General Release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060" w:hanging="369"/>
        <w:spacing w:after="0" w:line="236" w:lineRule="auto"/>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are being offered severance subject to a Separation Agreement must sign the Separation Agreement and return it to the Company.</w:t>
      </w:r>
    </w:p>
    <w:p>
      <w:pPr>
        <w:spacing w:after="0" w:line="1" w:lineRule="exact"/>
        <w:rPr>
          <w:rFonts w:ascii="Times New Roman" w:cs="Times New Roman" w:eastAsia="Times New Roman" w:hAnsi="Times New Roman"/>
          <w:sz w:val="22"/>
          <w:szCs w:val="22"/>
          <w:color w:val="auto"/>
        </w:rPr>
      </w:pPr>
    </w:p>
    <w:p>
      <w:pPr>
        <w:jc w:val="both"/>
        <w:ind w:left="1060" w:hanging="369"/>
        <w:spacing w:after="0" w:line="230" w:lineRule="auto"/>
        <w:tabs>
          <w:tab w:leader="none" w:pos="10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a list of the job title and ages of individuals employed by the Company in the applicable Research &amp; Development, General &amp; Admin, and Technical Operations groups who were and were not selected for the offer of severance in exchange for entering into a Separation Agreement:</w:t>
      </w:r>
    </w:p>
    <w:p>
      <w:pPr>
        <w:ind w:left="2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JOB TITLES AND AGES OF EMPLOYEES SELECTED</w:t>
      </w:r>
    </w:p>
    <w:p>
      <w:pPr>
        <w:ind w:left="1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 TERMINATION AND ELIGIBLE FOR SEVERANCE PAYMENT OFFER</w:t>
      </w: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06"/>
        </w:trPr>
        <w:tc>
          <w:tcPr>
            <w:tcW w:w="50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JOB TITLE</w:t>
            </w:r>
          </w:p>
        </w:tc>
        <w:tc>
          <w:tcPr>
            <w:tcW w:w="2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AGES</w:t>
            </w:r>
          </w:p>
        </w:tc>
      </w:tr>
      <w:tr>
        <w:trPr>
          <w:trHeight w:val="105"/>
        </w:trPr>
        <w:tc>
          <w:tcPr>
            <w:tcW w:w="5000" w:type="dxa"/>
            <w:vAlign w:val="bottom"/>
            <w:tcBorders>
              <w:left w:val="single" w:sz="8" w:color="auto"/>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r>
      <w:tr>
        <w:trPr>
          <w:trHeight w:val="246"/>
        </w:trPr>
        <w:tc>
          <w:tcPr>
            <w:tcW w:w="5000" w:type="dxa"/>
            <w:vAlign w:val="bottom"/>
            <w:tcBorders>
              <w:left w:val="single" w:sz="8" w:color="auto"/>
              <w:bottom w:val="single" w:sz="8" w:color="auto"/>
              <w:right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Chief Executive Officer</w:t>
            </w:r>
          </w:p>
        </w:tc>
        <w:tc>
          <w:tcPr>
            <w:tcW w:w="2860" w:type="dxa"/>
            <w:vAlign w:val="bottom"/>
            <w:tcBorders>
              <w:bottom w:val="single" w:sz="8" w:color="auto"/>
              <w:right w:val="single" w:sz="8" w:color="auto"/>
            </w:tcBorders>
          </w:tcPr>
          <w:p>
            <w:pPr>
              <w:ind w:left="60"/>
              <w:spacing w:after="0" w:line="246" w:lineRule="exact"/>
              <w:rPr>
                <w:sz w:val="20"/>
                <w:szCs w:val="20"/>
                <w:color w:val="auto"/>
              </w:rPr>
            </w:pPr>
            <w:r>
              <w:rPr>
                <w:rFonts w:ascii="Times New Roman" w:cs="Times New Roman" w:eastAsia="Times New Roman" w:hAnsi="Times New Roman"/>
                <w:sz w:val="22"/>
                <w:szCs w:val="22"/>
                <w:color w:val="auto"/>
              </w:rPr>
              <w:t>50</w:t>
            </w:r>
          </w:p>
        </w:tc>
      </w:tr>
    </w:tbl>
    <w:p>
      <w:pPr>
        <w:spacing w:after="0" w:line="31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 xml:space="preserve">JOB TITLES AND AGES OF EMPLOYEES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SELECTED</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FOR TERMINATION AND ARE INELIGIBLE FOR SEVERANCE PAYMENT OFFER</w:t>
      </w:r>
    </w:p>
    <w:p>
      <w:pPr>
        <w:spacing w:after="0" w:line="213" w:lineRule="exact"/>
        <w:rPr>
          <w:sz w:val="20"/>
          <w:szCs w:val="20"/>
          <w:color w:val="auto"/>
        </w:rPr>
      </w:pPr>
    </w:p>
    <w:tbl>
      <w:tblPr>
        <w:tblLayout w:type="fixed"/>
        <w:tblInd w:w="90" w:type="dxa"/>
        <w:tblCellMar>
          <w:top w:w="0" w:type="dxa"/>
          <w:left w:w="0" w:type="dxa"/>
          <w:bottom w:w="0" w:type="dxa"/>
          <w:right w:w="0" w:type="dxa"/>
        </w:tblCellMar>
      </w:tblPr>
      <w:tr>
        <w:trPr>
          <w:trHeight w:val="306"/>
        </w:trPr>
        <w:tc>
          <w:tcPr>
            <w:tcW w:w="7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JOB TITLE</w:t>
            </w:r>
          </w:p>
        </w:tc>
        <w:tc>
          <w:tcPr>
            <w:tcW w:w="2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AGES</w:t>
            </w:r>
          </w:p>
        </w:tc>
      </w:tr>
      <w:tr>
        <w:trPr>
          <w:trHeight w:val="105"/>
        </w:trPr>
        <w:tc>
          <w:tcPr>
            <w:tcW w:w="7740" w:type="dxa"/>
            <w:vAlign w:val="bottom"/>
            <w:tcBorders>
              <w:left w:val="single" w:sz="8" w:color="auto"/>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r>
      <w:tr>
        <w:trPr>
          <w:trHeight w:val="262"/>
        </w:trPr>
        <w:tc>
          <w:tcPr>
            <w:tcW w:w="7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Vice President</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w:t>
            </w:r>
          </w:p>
        </w:tc>
      </w:tr>
      <w:tr>
        <w:trPr>
          <w:trHeight w:val="92"/>
        </w:trPr>
        <w:tc>
          <w:tcPr>
            <w:tcW w:w="7740" w:type="dxa"/>
            <w:vAlign w:val="bottom"/>
            <w:tcBorders>
              <w:left w:val="single" w:sz="8" w:color="auto"/>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477520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760" w:top="1403" w:right="5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10.61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Consulting Agreement (this “Agreement”), dated as of December 22, 2023, is made by and between Alaunos Therapeutics, Inc. (the “Company”) and Kevin S. Boyle Sr. (“Consultant”).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engage Consultant to provide services pursuant to the terms and conditions contained in this Agreement; and</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Consultant desires to accept such engagement pursuant to the terms and conditions contained in this Agreement;</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covenants and agreements hereinafter contained, the parties agree as follows:</w:t>
      </w:r>
    </w:p>
    <w:p>
      <w:pPr>
        <w:spacing w:after="0" w:line="153" w:lineRule="exact"/>
        <w:rPr>
          <w:sz w:val="20"/>
          <w:szCs w:val="20"/>
          <w:color w:val="auto"/>
        </w:rPr>
      </w:pPr>
    </w:p>
    <w:p>
      <w:pPr>
        <w:jc w:val="both"/>
        <w:ind w:firstLine="757"/>
        <w:spacing w:after="0" w:line="246" w:lineRule="auto"/>
        <w:tabs>
          <w:tab w:leader="none" w:pos="101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services relationship with the Company will commence on January 1, 2024 (the “Start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continue for a period of six (6) months. The period of Consultant’s services relationship with the Company, beginning on the Start Date, is referred to as the “Term.”</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24"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Consultant will be responsible for providing the Company with the services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such other services as the parties may agree to from time to time (the “Services”). Consultant may not subcontract or otherwise delegate Consultant’s obligations under this Agreement without the Company’s prior written consent. While providing the Services, the Consultant will not have specified hours but will be required to make himself reasonably available. The Company shall provide electronic access to Company systems and facilities to facilitate Consultant’s services, including email.</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31"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Non-Exclusivity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shall prevent Contractor from seeking or accepting other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consulting engagements, or board positions with other companies or organizations, provided that such activities do not (i) create a conflict of interest with the Company’s business or the Services; or (ii) violate any confidentiality obligations owed by the Contractor to the Company under this or any other agreement.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197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xml:space="preserve">. As sole compensation for the performance of the Services, the Company will pay to Consultant the amount(s) and on the schedule specified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Withholdings</w:t>
      </w:r>
      <w:r>
        <w:rPr>
          <w:rFonts w:ascii="Times New Roman" w:cs="Times New Roman" w:eastAsia="Times New Roman" w:hAnsi="Times New Roman"/>
          <w:sz w:val="22"/>
          <w:szCs w:val="22"/>
          <w:color w:val="auto"/>
        </w:rPr>
        <w:t>. Consultant acknowledges that the Company does not intend to make withholdings from any payments hereunder. Consultant will have the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909320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15" w:name="page116"/>
    <w:bookmarkEnd w:id="115"/>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responsibility for paying any taxes (including income taxes, social security contributions, and similar obligations) on such payments. At the appropriate time, the Company will provide Consultant with a Form 1099 for Consultant’s tax purposes.</w:t>
      </w:r>
    </w:p>
    <w:p>
      <w:pPr>
        <w:spacing w:after="0" w:line="157" w:lineRule="exact"/>
        <w:rPr>
          <w:sz w:val="20"/>
          <w:szCs w:val="20"/>
          <w:color w:val="auto"/>
        </w:rPr>
      </w:pPr>
    </w:p>
    <w:p>
      <w:pPr>
        <w:jc w:val="both"/>
        <w:ind w:firstLine="1505"/>
        <w:spacing w:after="0" w:line="239" w:lineRule="auto"/>
        <w:tabs>
          <w:tab w:leader="none" w:pos="195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Benefits</w:t>
      </w:r>
      <w:r>
        <w:rPr>
          <w:rFonts w:ascii="Times New Roman" w:cs="Times New Roman" w:eastAsia="Times New Roman" w:hAnsi="Times New Roman"/>
          <w:sz w:val="22"/>
          <w:szCs w:val="22"/>
          <w:color w:val="auto"/>
        </w:rPr>
        <w:t>. The Company will not provide Consultant with any benefits except as provided in this Agreement, nor will Consultant be entitled to participate in any benefit plan or arrangement of the Company or any affiliated entity of the Company, including without limitation any vacation benefit or insurance arrangement (the “Company Benefit Plans”).</w:t>
      </w:r>
    </w:p>
    <w:p>
      <w:pPr>
        <w:spacing w:after="0" w:line="174"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Independent Contractor Status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acknowledges that, during the Term, Consultant’s relationship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be that of an independent contractor, and not that of an employee of the Company. Nothing herein will be deemed to establish a partnership, joint venture, or employment relationship between the parties.</w:t>
      </w:r>
    </w:p>
    <w:p>
      <w:pPr>
        <w:spacing w:after="0" w:line="165" w:lineRule="exact"/>
        <w:rPr>
          <w:rFonts w:ascii="Times New Roman" w:cs="Times New Roman" w:eastAsia="Times New Roman" w:hAnsi="Times New Roman"/>
          <w:sz w:val="22"/>
          <w:szCs w:val="22"/>
          <w:b w:val="1"/>
          <w:bCs w:val="1"/>
          <w:color w:val="auto"/>
        </w:rPr>
      </w:pPr>
    </w:p>
    <w:p>
      <w:pPr>
        <w:ind w:firstLine="757"/>
        <w:spacing w:after="0" w:line="261" w:lineRule="auto"/>
        <w:tabs>
          <w:tab w:leader="none" w:pos="101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Existing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supplements and does not amend the responsibilities of the Parties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agreements regarding confidential information, trade secrets, or invention or intellectual property assignment.</w:t>
      </w:r>
    </w:p>
    <w:p>
      <w:pPr>
        <w:spacing w:after="0" w:line="150"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and other communications provided for in this Agreement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been duly given (a) when delivered and received by the other party, or (b) two (2) business days after being sent when sent by recognized overnight courier to the following addresses: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Alaunos Therapeutics, Inc.</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2617 Bissonnet, Suite 225</w:t>
      </w:r>
    </w:p>
    <w:p>
      <w:pPr>
        <w:ind w:left="1500"/>
        <w:spacing w:after="0" w:line="230" w:lineRule="auto"/>
        <w:rPr>
          <w:sz w:val="20"/>
          <w:szCs w:val="20"/>
          <w:color w:val="auto"/>
        </w:rPr>
      </w:pPr>
      <w:r>
        <w:rPr>
          <w:rFonts w:ascii="Times New Roman" w:cs="Times New Roman" w:eastAsia="Times New Roman" w:hAnsi="Times New Roman"/>
          <w:sz w:val="22"/>
          <w:szCs w:val="22"/>
          <w:color w:val="auto"/>
        </w:rPr>
        <w:t>Houston TX 77054</w:t>
      </w:r>
    </w:p>
    <w:p>
      <w:pPr>
        <w:ind w:left="1500"/>
        <w:spacing w:after="0" w:line="230" w:lineRule="auto"/>
        <w:rPr>
          <w:sz w:val="20"/>
          <w:szCs w:val="20"/>
          <w:color w:val="auto"/>
        </w:rPr>
      </w:pPr>
      <w:r>
        <w:rPr>
          <w:rFonts w:ascii="Times New Roman" w:cs="Times New Roman" w:eastAsia="Times New Roman" w:hAnsi="Times New Roman"/>
          <w:sz w:val="22"/>
          <w:szCs w:val="22"/>
          <w:color w:val="auto"/>
        </w:rPr>
        <w:t>Attention: Legal Team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legalteam@alaunos.com;</w:t>
      </w:r>
    </w:p>
    <w:p>
      <w:pPr>
        <w:spacing w:after="0" w:line="200" w:lineRule="exact"/>
        <w:rPr>
          <w:sz w:val="20"/>
          <w:szCs w:val="20"/>
          <w:color w:val="auto"/>
        </w:rPr>
      </w:pP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Consultant: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S. Boyle, Sr.</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will have furnished to the other in writing in accordance with this Section 7, except that such notice of change of address shall be effective only upon receipt.</w:t>
      </w:r>
    </w:p>
    <w:p>
      <w:pPr>
        <w:spacing w:after="0" w:line="153" w:lineRule="exact"/>
        <w:rPr>
          <w:sz w:val="20"/>
          <w:szCs w:val="20"/>
          <w:color w:val="auto"/>
        </w:rPr>
      </w:pPr>
    </w:p>
    <w:p>
      <w:pPr>
        <w:jc w:val="both"/>
        <w:ind w:firstLine="757"/>
        <w:spacing w:after="0"/>
        <w:tabs>
          <w:tab w:leader="none" w:pos="101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D&amp;O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obtained and shall cause to be maintained in effect during the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financially sound insurers, a policy of directors’ and officers’ liability insurance (the “D&amp;O Policy”). The Company and Consultant acknowledge and agree that, in providing the Services, Consultant will act as an officer of the Company, and the Company and Consultant expect and intend that Consultant shall be covered by the D&amp;O policy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under no less favorable terms than any other individual covered by the D&amp;O policy. The provisions in this Section 8 shall survive the termination of this Agreement.</w:t>
      </w:r>
    </w:p>
    <w:p>
      <w:pPr>
        <w:spacing w:after="0" w:line="153" w:lineRule="exact"/>
        <w:rPr>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firstLine="757"/>
        <w:spacing w:after="0" w:line="236" w:lineRule="auto"/>
        <w:tabs>
          <w:tab w:leader="none" w:pos="101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defend and indemnify Consultant, to the fullest extent permitted by law against any and all threatened, pending, or completed action, suit, proceeding, or alternative dispute resolution mechanism, whether civil, criminal, administrative, arbitrative, investigative, or other, and whether made pursuant to federal, state, or other law (each, a “Claim”) against Consultant as a result of the Consultant’s performance of the Services or as result of the Consultant’s prior work as an employee and officer of the Company, including without limitation Claims brought by or in the right of the Company, Claims brought by third parties, and Claims in which Consultant is solely a witness.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(b)Consultant shall have the right to advancement by the Company, prior to the final disposition of any Claim by final adjudication to which there are no further rights of appeal, of any and all Expenses (as that term is defined below) actually and reasonably paid or incurred by Consultant in connection with any Claim. Consultant’s right to such advancement is not subject to the satisfaction of any standard of conduct. Without limiting the generality or effect of the foregoing, within ten (10) days after any written request by Consultant, the Company shall, in accordance with such request, (i) pay such Expenses on behalf of Consultant, (ii) advance to Consultant funds in an amount sufficient to pay such Expenses, or (iii) reimburse Consultant for such Expenses.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in, or participate in, any Claim.</w:t>
      </w:r>
    </w:p>
    <w:p>
      <w:pPr>
        <w:spacing w:after="0" w:line="176" w:lineRule="exact"/>
        <w:rPr>
          <w:sz w:val="20"/>
          <w:szCs w:val="20"/>
          <w:color w:val="auto"/>
        </w:rPr>
      </w:pPr>
    </w:p>
    <w:p>
      <w:pPr>
        <w:ind w:firstLine="757"/>
        <w:spacing w:after="0" w:line="258" w:lineRule="auto"/>
        <w:tabs>
          <w:tab w:leader="none" w:pos="10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or effect of the foregoing, Consultants right to indemnification and advancement of Expenses shall be no less favorable than that of any officer of the Company.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(d)The provisions in this Section 9 shall survive the termination of this Agreement.</w:t>
      </w:r>
    </w:p>
    <w:p>
      <w:pPr>
        <w:spacing w:after="0" w:line="201"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firstLine="757"/>
        <w:spacing w:after="0" w:line="244" w:lineRule="auto"/>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of the provisions of this Agreement, or the application of any such provisions to Consultant or the Company with respect to obligations hereunder, is held to be unlawful or unenforceable by any court, then the remaining portions of this Agreement shall remain in full force and effect and shall not be invalidated or impaired in any manner.</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by any party of the breach of any term or covenant contained in this Agreement, whether by conduct or otherwise, in any one or more instances, shall be deemed to be, or construed as, a further or continuing waiver of any such breach, or a waiver of any other term or covenant contained in this Agreement.</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all Exhibits hereto) contains the entire agreement between Consultant and the Company with respect to the subject matter of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(including all Exhibits hereto), and supersedes any and all prior agreements and understandings, whether verbal or written, between Consultant and the Company with respect to the subject matter of this Agreement (including all Exhibits hereto). This Agreement may be amended only by an agreement in writing signed by Consultant and the Company.</w:t>
      </w:r>
    </w:p>
    <w:p>
      <w:pPr>
        <w:spacing w:after="0" w:line="172" w:lineRule="exact"/>
        <w:rPr>
          <w:sz w:val="20"/>
          <w:szCs w:val="20"/>
          <w:color w:val="auto"/>
        </w:rPr>
      </w:pPr>
    </w:p>
    <w:p>
      <w:pPr>
        <w:ind w:firstLine="757"/>
        <w:spacing w:after="0" w:line="258" w:lineRule="auto"/>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assigned by Consultant or the Company without the other party’s consent, and any such attempted assignment shall be void and of no effect.</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language of this Agreement are the result of arm’s length negotiations between the parties. Consequently, there shall be no presumption that any ambiguity in this Agreement should be resolved in favor of one party and against another. Any controversy concerning the construction of this Agreement shall be decided neutrally without regard to authorship.</w:t>
      </w:r>
    </w:p>
    <w:p>
      <w:pPr>
        <w:spacing w:after="0" w:line="178"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titles and headings of sections and subsections contained in this Agreement are included solely for convenience of reference and will not control the meaning or interpretation of any of the provisions of this Agreement.</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each of which so executed shall be deemed to be an original, and such counterparts shall together constitute but one agreement. Each party may execute this Agreement in Adobe Portable Document Format or in a similar format (“PDF”) sent by electronic mail. In addition, PDF signatures of authorized signatories of any party will be deemed to be original signatures and will be valid and binding, and delivery of a PDF signature by any party will constitute due execution and delivery of this Agreement.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Texas, without giving effect to its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as of the date first written above.</w:t>
      </w:r>
    </w:p>
    <w:p>
      <w:pPr>
        <w:spacing w:after="0" w:line="201"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ALAUNOS THERAPEUTICS, INC.</w:t>
      </w:r>
      <w:r>
        <w:rPr>
          <w:sz w:val="20"/>
          <w:szCs w:val="20"/>
          <w:color w:val="auto"/>
        </w:rPr>
        <w:tab/>
      </w:r>
      <w:r>
        <w:rPr>
          <w:rFonts w:ascii="Times New Roman" w:cs="Times New Roman" w:eastAsia="Times New Roman" w:hAnsi="Times New Roman"/>
          <w:sz w:val="20"/>
          <w:szCs w:val="20"/>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_/s/ Michael Wong__________</w:t>
            </w:r>
          </w:p>
        </w:tc>
        <w:tc>
          <w:tcPr>
            <w:tcW w:w="7540" w:type="dxa"/>
            <w:vAlign w:val="bottom"/>
          </w:tcPr>
          <w:p>
            <w:pPr>
              <w:jc w:val="center"/>
              <w:ind w:right="3572"/>
              <w:spacing w:after="0"/>
              <w:rPr>
                <w:sz w:val="20"/>
                <w:szCs w:val="20"/>
                <w:color w:val="auto"/>
              </w:rPr>
            </w:pPr>
            <w:r>
              <w:rPr>
                <w:rFonts w:ascii="Times New Roman" w:cs="Times New Roman" w:eastAsia="Times New Roman" w:hAnsi="Times New Roman"/>
                <w:sz w:val="22"/>
                <w:szCs w:val="22"/>
                <w:color w:val="auto"/>
                <w:w w:val="97"/>
              </w:rPr>
              <w:t>__/s/ Kevin S. Boyle Sr._____</w:t>
            </w:r>
          </w:p>
        </w:tc>
      </w:tr>
      <w:tr>
        <w:trPr>
          <w:trHeight w:val="243"/>
        </w:trPr>
        <w:tc>
          <w:tcPr>
            <w:tcW w:w="9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27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Michael Wong</w:t>
            </w:r>
          </w:p>
        </w:tc>
        <w:tc>
          <w:tcPr>
            <w:tcW w:w="75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Name: Kevin S. Boyle Sr.</w:t>
            </w:r>
          </w:p>
        </w:tc>
      </w:tr>
      <w:tr>
        <w:trPr>
          <w:trHeight w:val="282"/>
        </w:trPr>
        <w:tc>
          <w:tcPr>
            <w:tcW w:w="9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Title:</w:t>
            </w: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Vice President, Finance</w:t>
            </w:r>
          </w:p>
        </w:tc>
        <w:tc>
          <w:tcPr>
            <w:tcW w:w="7540" w:type="dxa"/>
            <w:vAlign w:val="bottom"/>
          </w:tcPr>
          <w:p>
            <w:pPr>
              <w:spacing w:after="0"/>
              <w:rPr>
                <w:sz w:val="24"/>
                <w:szCs w:val="24"/>
                <w:color w:val="auto"/>
              </w:rPr>
            </w:pPr>
          </w:p>
        </w:tc>
      </w:tr>
      <w:tr>
        <w:trPr>
          <w:trHeight w:val="701"/>
        </w:trPr>
        <w:tc>
          <w:tcPr>
            <w:tcW w:w="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540" w:type="dxa"/>
            <w:vAlign w:val="bottom"/>
          </w:tcPr>
          <w:p>
            <w:pPr>
              <w:jc w:val="right"/>
              <w:ind w:right="5452"/>
              <w:spacing w:after="0"/>
              <w:rPr>
                <w:sz w:val="20"/>
                <w:szCs w:val="20"/>
                <w:color w:val="auto"/>
              </w:rPr>
            </w:pPr>
            <w:r>
              <w:rPr>
                <w:rFonts w:ascii="Times New Roman" w:cs="Times New Roman" w:eastAsia="Times New Roman" w:hAnsi="Times New Roman"/>
                <w:sz w:val="22"/>
                <w:szCs w:val="22"/>
                <w:color w:val="auto"/>
              </w:rPr>
              <w:t>4</w:t>
            </w:r>
          </w:p>
        </w:tc>
      </w:tr>
      <w:tr>
        <w:trPr>
          <w:trHeight w:val="777"/>
        </w:trPr>
        <w:tc>
          <w:tcPr>
            <w:tcW w:w="9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Services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Consultant, in their capacity as a former CEO, will provide the following Services:</w:t>
      </w:r>
    </w:p>
    <w:p>
      <w:pPr>
        <w:spacing w:after="0" w:line="228" w:lineRule="exact"/>
        <w:rPr>
          <w:sz w:val="20"/>
          <w:szCs w:val="20"/>
          <w:color w:val="auto"/>
        </w:rPr>
      </w:pPr>
    </w:p>
    <w:p>
      <w:pPr>
        <w:ind w:firstLine="1131"/>
        <w:spacing w:after="0" w:line="261" w:lineRule="auto"/>
        <w:tabs>
          <w:tab w:leader="none" w:pos="14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Strategic Advisory: </w:t>
      </w:r>
      <w:r>
        <w:rPr>
          <w:rFonts w:ascii="Times New Roman" w:cs="Times New Roman" w:eastAsia="Times New Roman" w:hAnsi="Times New Roman"/>
          <w:sz w:val="22"/>
          <w:szCs w:val="22"/>
          <w:color w:val="auto"/>
        </w:rPr>
        <w:t>The Consultant will provide strategic advice and insights based on their experience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of the Company’s operations, industry trends, and competitive landscape.</w:t>
      </w:r>
    </w:p>
    <w:p>
      <w:pPr>
        <w:spacing w:after="0" w:line="177" w:lineRule="exact"/>
        <w:rPr>
          <w:rFonts w:ascii="Times New Roman" w:cs="Times New Roman" w:eastAsia="Times New Roman" w:hAnsi="Times New Roman"/>
          <w:sz w:val="22"/>
          <w:szCs w:val="22"/>
          <w:color w:val="auto"/>
        </w:rPr>
      </w:pPr>
    </w:p>
    <w:p>
      <w:pPr>
        <w:ind w:right="20" w:firstLine="1131"/>
        <w:spacing w:after="0" w:line="261" w:lineRule="auto"/>
        <w:tabs>
          <w:tab w:leader="none" w:pos="14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Services: </w:t>
      </w:r>
      <w:r>
        <w:rPr>
          <w:rFonts w:ascii="Times New Roman" w:cs="Times New Roman" w:eastAsia="Times New Roman" w:hAnsi="Times New Roman"/>
          <w:sz w:val="22"/>
          <w:szCs w:val="22"/>
          <w:color w:val="auto"/>
        </w:rPr>
        <w:t>The Consultant will perform other services as mutually agreed upon between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Consultant from time to time.</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Consultant agrees to provide the Services in a professional and diligent manner, consistent with industry standards and in compliance with the Company’s policies and procedures. The Consultant may not subcontract or otherwise delegate their obligations under this Agreement without the Company’s prior written consent. While providing the Services, the Consultant will not have specified hours but will be required to make themselves reasonably available.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Service Fee</w:t>
      </w:r>
    </w:p>
    <w:p>
      <w:pPr>
        <w:spacing w:after="0" w:line="236" w:lineRule="exact"/>
        <w:rPr>
          <w:sz w:val="20"/>
          <w:szCs w:val="20"/>
          <w:color w:val="auto"/>
        </w:rPr>
      </w:pPr>
    </w:p>
    <w:p>
      <w:pPr>
        <w:jc w:val="both"/>
        <w:ind w:firstLine="757"/>
        <w:spacing w:after="0" w:line="244" w:lineRule="auto"/>
        <w:tabs>
          <w:tab w:leader="none" w:pos="120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$15,000.00 per month paid in U.S. dollars by the Company to Consultant for the entire Term of this Agreement, unless otherwise agreed by the Company and Consultant in writing, payable at the beginning of each month with no invoice required from Consultant.</w:t>
      </w:r>
    </w:p>
    <w:p>
      <w:pPr>
        <w:spacing w:after="0" w:line="199"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Consultant for any usual and customary business expenses as may be reasonably required to provide the services to the Company for the term of this Agreement (e.g. office supplies, travel time and mileage).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Consulting Agreement (this “Agreement”), dated as of February 22, 2024, is made by and between Alaunos Therapeutics, Inc. (the “Company”) and Ferdinand Groenewald (“Consultant”), (together the “Parties”).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engage Consultant to provide services pursuant to the terms and conditions contained in this Agreement; and</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WHEREAS, Consultant desires to accept such engagement pursuant to the terms and conditions contained in this Agreement;</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covenants and agreements hereinafter contained, the parties agree as follows:</w:t>
      </w:r>
    </w:p>
    <w:p>
      <w:pPr>
        <w:spacing w:after="0" w:line="153" w:lineRule="exact"/>
        <w:rPr>
          <w:sz w:val="20"/>
          <w:szCs w:val="20"/>
          <w:color w:val="auto"/>
        </w:rPr>
      </w:pPr>
    </w:p>
    <w:p>
      <w:pPr>
        <w:jc w:val="both"/>
        <w:ind w:firstLine="757"/>
        <w:spacing w:after="0"/>
        <w:tabs>
          <w:tab w:leader="none" w:pos="101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Consultant’s services relationship with the Company will commence on Thursday, February 22, 2023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“Start Date”) and will continue indefinitely until terminated in accordance with this Section 1. Either party may terminate this Agreement by providing the other party with at least thirty (30) days of advance written notice of such decision. The period of Consultant’s services relationship with the Company, beginning on the Start Date, is referred to as the “Term.”</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33"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Consultant will be responsible for providing the Company with the services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such other services as the Parties may agree to from time to time (the “Services”). Consultant may not subcontract or otherwise delegate Consultant’s obligations under this Agreement without the Company’s prior written consent.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24"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197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xml:space="preserve">. As sole compensation for the performance of the Services, the Company will pay to Consultant the amount(s) and on the schedule specified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Withholdings</w:t>
      </w:r>
      <w:r>
        <w:rPr>
          <w:rFonts w:ascii="Times New Roman" w:cs="Times New Roman" w:eastAsia="Times New Roman" w:hAnsi="Times New Roman"/>
          <w:sz w:val="22"/>
          <w:szCs w:val="22"/>
          <w:color w:val="auto"/>
        </w:rPr>
        <w:t>. Consultant acknowledges that the Company does not intend to make withholdings from any payments hereunder. Consultant will have the exclusive responsibility for paying any taxes (including income taxes, social security contributions, and similar obligations) on such payments. At the appropriate time, the Company will provide Consultant with a Form 1099 for Consultant’s tax purposes.</w:t>
      </w:r>
    </w:p>
    <w:p>
      <w:pPr>
        <w:spacing w:after="0" w:line="179" w:lineRule="exact"/>
        <w:rPr>
          <w:sz w:val="20"/>
          <w:szCs w:val="20"/>
          <w:color w:val="auto"/>
        </w:rPr>
      </w:pPr>
    </w:p>
    <w:p>
      <w:pPr>
        <w:jc w:val="both"/>
        <w:ind w:firstLine="1505"/>
        <w:spacing w:after="0" w:line="239" w:lineRule="auto"/>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Benefits</w:t>
      </w:r>
      <w:r>
        <w:rPr>
          <w:rFonts w:ascii="Times New Roman" w:cs="Times New Roman" w:eastAsia="Times New Roman" w:hAnsi="Times New Roman"/>
          <w:sz w:val="22"/>
          <w:szCs w:val="22"/>
          <w:color w:val="auto"/>
        </w:rPr>
        <w:t>. The Company will not provide Consultant with any benefits except as provided in this Agreement, nor will Consultant be entitled to participate in any benefit plan or arrangement of the Company or any affiliated entity of the Company, including without limitation any vacation benefit or insurance arrangement (the “Company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21" w:name="page122"/>
    <w:bookmarkEnd w:id="121"/>
    <w:p>
      <w:pPr>
        <w:jc w:val="both"/>
        <w:ind w:firstLine="757"/>
        <w:spacing w:after="0" w:line="246" w:lineRule="auto"/>
        <w:tabs>
          <w:tab w:leader="none" w:pos="1018"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Independent Contractor Status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Consultant acknowledges that, during the Term, Consultant’s relationship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be that of an independent contractor, and not that of an employee of the Company. Nothing herein will be deemed to establish a partnership, joint venture, or employment relationship between the parties.</w:t>
      </w:r>
    </w:p>
    <w:p>
      <w:pPr>
        <w:spacing w:after="0" w:line="165" w:lineRule="exact"/>
        <w:rPr>
          <w:rFonts w:ascii="Times New Roman" w:cs="Times New Roman" w:eastAsia="Times New Roman" w:hAnsi="Times New Roman"/>
          <w:sz w:val="22"/>
          <w:szCs w:val="22"/>
          <w:b w:val="1"/>
          <w:bCs w:val="1"/>
          <w:color w:val="auto"/>
        </w:rPr>
      </w:pPr>
    </w:p>
    <w:p>
      <w:pPr>
        <w:jc w:val="both"/>
        <w:ind w:firstLine="757"/>
        <w:spacing w:after="0" w:line="256" w:lineRule="auto"/>
        <w:tabs>
          <w:tab w:leader="none" w:pos="1018"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Consultant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agrees that this Agreement creates a relationship of confidence and trust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part of Consultant as Consultant provides Services for the benefit of the Company. In the performance of Consultant’s obligations under this Agreement, Consultant and its principals, agents, employees and contractors may receive, create for the Company and/or have access to, among other things, technical, customer, personnel and business information in written, graphic, oral or other tangible forms such as specifications, records, data, computer programs, drawings, models, reports and samples (collectively referred to as “Confidential Information”) owned or controlled by the Company. Such Confidential Information contains material that is proprietary or confidential, or material that is protected by applicable laws regarding secrecy of communications or trade secrets. Accordingly:</w:t>
      </w:r>
    </w:p>
    <w:p>
      <w:pPr>
        <w:spacing w:after="0" w:line="201" w:lineRule="exact"/>
        <w:rPr>
          <w:rFonts w:ascii="Times New Roman" w:cs="Times New Roman" w:eastAsia="Times New Roman" w:hAnsi="Times New Roman"/>
          <w:sz w:val="22"/>
          <w:szCs w:val="22"/>
          <w:b w:val="1"/>
          <w:bCs w:val="1"/>
          <w:color w:val="auto"/>
        </w:rPr>
      </w:pPr>
    </w:p>
    <w:p>
      <w:pPr>
        <w:jc w:val="both"/>
        <w:ind w:firstLine="1505"/>
        <w:spacing w:after="0"/>
        <w:tabs>
          <w:tab w:leader="none" w:pos="203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Consultant recognizes and agrees that nothing in this Agreement will be construed as granting any rights, by license or otherwise, to any Confidential Information or to any inventions or patents, trade secrets, copyrights, trademarks, or other intellectual property right that has issued or that may issue based on such Confidential Information. All Confidential Information (including all copies thereof) will at all times remain the property of the Company and will be immediately returned to the Company after Consultant’s need for it has expired, or upon request of the Company, and in any event, upon completion or termination of the Services to be provided by Consultant. At such time, Consultant shall also erase, delete, or destroy any notes, documents, magnetic media or other computer storage, including system backups, which contain any Confidential Information.</w:t>
      </w:r>
    </w:p>
    <w:p>
      <w:pPr>
        <w:spacing w:after="0" w:line="214"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Consultant will advise its principals, employees, agents and contractors who might have access to Confidential Information of the confidential nature thereof and agrees that its employees will be bound by the terms of this Agreement. Consultant will not disclose any Confidential Information to any employee except for those persons who have a need for such information in connection with Consultant rendering the Services and who agree in writing to bound by the provision of this Agreement, nor will it disclose any Confidential Information to any third party without first obtaining the Company’s express written consent, which may be withheld in the sole discretion of the Company. For the purposes of this Sub- section (b), the term “employee” will include, in addition to employees, directors, officers, members, owners, independent contractors, consultants, collaborators and other agents of the Consultant.</w:t>
      </w:r>
    </w:p>
    <w:p>
      <w:pPr>
        <w:spacing w:after="0" w:line="214"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7"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term “Confidential Information” will not include information that Consultant can establish (i) was publicly known and made generally available in the public domain prior to the time of disclosure to Consultant; (ii) becomes publicly known and made generally available after disclosure to Consultant through no action or inaction of Consultant; (iii) is in the possession of Consultant, without confidentiality restrictions, at the time of disclosure by the Company, as shown by Consultant’s files and records immediately prior to the time of disclosure; or (iv) is approved for release by the Company in writing. Moreover, this confidentiality restriction shall not apply to information that is required by law or regulation or required pursuant to a valid order of a court or regulatory agency to be disclosed by Consultant, but only to the limit and extent of such required disclosure, provided that, prior to such disclosure, Consultant provides the Company with prompt written notice of such requirement and the facts and circumstances concerning such requirement and assists the Company in obtaining an order or orders protecting the information from any disclosure or limiting the extent of information to be disclosed.</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 Rights</w:t>
      </w:r>
      <w:r>
        <w:rPr>
          <w:rFonts w:ascii="Times New Roman" w:cs="Times New Roman" w:eastAsia="Times New Roman" w:hAnsi="Times New Roman"/>
          <w:sz w:val="19"/>
          <w:szCs w:val="19"/>
          <w:i w:val="1"/>
          <w:iCs w:val="1"/>
          <w:color w:val="auto"/>
        </w:rPr>
        <w: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22" w:name="page123"/>
    <w:bookmarkEnd w:id="122"/>
    <w:p>
      <w:pPr>
        <w:jc w:val="both"/>
        <w:ind w:firstLine="1505"/>
        <w:spacing w:after="0" w:line="259" w:lineRule="auto"/>
        <w:tabs>
          <w:tab w:leader="none" w:pos="203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It is the intention of the parties that the Company should own the rights in any materials and work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resulting from the Services. To that end, Consultant shall on the Company’s written request from time to time sign an unconditional assignment with full title guarantee of all rights in any such materials as are owned by Consultant and capable of assignment. Consultant shall also waive any moral rights it may have in the any materials created by Consultant for Company when providing Services.</w:t>
      </w:r>
    </w:p>
    <w:p>
      <w:pPr>
        <w:spacing w:after="0" w:line="197"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addition, any information, know-how, data, results, and inventions, and any associated intellectual property, that is made, discovered, created, invented or generated by Consultant in any activities or work under this Agreement shall be owned by the Company.</w:t>
      </w:r>
    </w:p>
    <w:p>
      <w:pPr>
        <w:spacing w:after="0" w:line="214" w:lineRule="exact"/>
        <w:rPr>
          <w:rFonts w:ascii="Times New Roman" w:cs="Times New Roman" w:eastAsia="Times New Roman" w:hAnsi="Times New Roman"/>
          <w:sz w:val="22"/>
          <w:szCs w:val="22"/>
          <w:color w:val="auto"/>
        </w:rPr>
      </w:pPr>
    </w:p>
    <w:p>
      <w:pPr>
        <w:jc w:val="both"/>
        <w:ind w:firstLine="1505"/>
        <w:spacing w:after="0" w:line="259" w:lineRule="auto"/>
        <w:tabs>
          <w:tab w:leader="none" w:pos="2037"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Consultant acknowledges that the Company does not desire to acquire any trade secrets, know-how, confidential information, or other intellectual property that Consultant may have acquired from or developed for any third parties. In the course of providing the Services, Consultant shall not use or disclose any third party intellectual property, including without limitation any intellectual property of (i) any former or current employer, (ii) any person for whom Consultant has performed or currently performs consulting services, or (iii) any other person to whom Consultant has a legal obligation regarding the use or disclosure of such intellectual property.</w:t>
      </w:r>
    </w:p>
    <w:p>
      <w:pPr>
        <w:spacing w:after="0" w:line="211"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Consultant agrees to assist in any logistics of future intellectual property that is generated from this Agreement as needed and determined by Consultant, with no compensation solely for such participation, including but not limited signing assignment forms, inventor forms, and advising on substantive matters as needed by and when requested by the Company. Company agrees to pay for any associated expenses, fees, and further patent prosecution.</w:t>
      </w:r>
    </w:p>
    <w:p>
      <w:pPr>
        <w:spacing w:after="0" w:line="20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notices and other communications provided for in this Agreement shall be in writing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have been duly given (a) when delivered and received by the other party, or (b) two (2) business days after being sent when sent by recognized overnight courier to the following addresses:</w:t>
      </w:r>
    </w:p>
    <w:p>
      <w:pPr>
        <w:ind w:left="15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to the Company:</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Alaunos Therapeutics, Inc.</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2617 Bissonnet St., Suite 225</w:t>
      </w:r>
    </w:p>
    <w:p>
      <w:pPr>
        <w:ind w:left="1500"/>
        <w:spacing w:after="0" w:line="230" w:lineRule="auto"/>
        <w:rPr>
          <w:sz w:val="20"/>
          <w:szCs w:val="20"/>
          <w:color w:val="auto"/>
        </w:rPr>
      </w:pPr>
      <w:r>
        <w:rPr>
          <w:rFonts w:ascii="Times New Roman" w:cs="Times New Roman" w:eastAsia="Times New Roman" w:hAnsi="Times New Roman"/>
          <w:sz w:val="22"/>
          <w:szCs w:val="22"/>
          <w:color w:val="auto"/>
        </w:rPr>
        <w:t>Houston TX 77005</w:t>
      </w:r>
    </w:p>
    <w:p>
      <w:pPr>
        <w:ind w:left="1500"/>
        <w:spacing w:after="0"/>
        <w:rPr>
          <w:sz w:val="20"/>
          <w:szCs w:val="20"/>
          <w:color w:val="auto"/>
        </w:rPr>
      </w:pPr>
      <w:r>
        <w:rPr>
          <w:rFonts w:ascii="Times New Roman" w:cs="Times New Roman" w:eastAsia="Times New Roman" w:hAnsi="Times New Roman"/>
          <w:sz w:val="22"/>
          <w:szCs w:val="22"/>
          <w:color w:val="auto"/>
        </w:rPr>
        <w:t>Attention: legalteam@alaunos.com;</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Consultant: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Ferdinand Groenewald</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will have furnished to the other in writing in accordance with this Section 6, except that such notice of change of address shall be effective only upon receipt.</w:t>
      </w:r>
    </w:p>
    <w:p>
      <w:pPr>
        <w:spacing w:after="0" w:line="153"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D&amp;O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obtained and shall cause to be maintained in effect during the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financially sound insurers, a policy of directors’ and officers’ liability insurance (the “D&amp;O Policy”). The Company and Consultant acknowledge and agree that, in providing the Services, Consultant will act as an officer of the Company, and the Company and Consultant expect and intend that Consultant shall be covered by the D&amp;O policy under no less favorable terms than any other individual covered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23" w:name="page124"/>
    <w:bookmarkEnd w:id="123"/>
    <w:p>
      <w:pPr>
        <w:ind w:left="760"/>
        <w:spacing w:after="0"/>
        <w:rPr>
          <w:sz w:val="20"/>
          <w:szCs w:val="20"/>
          <w:color w:val="auto"/>
        </w:rPr>
      </w:pPr>
      <w:r>
        <w:rPr>
          <w:rFonts w:ascii="Times New Roman" w:cs="Times New Roman" w:eastAsia="Times New Roman" w:hAnsi="Times New Roman"/>
          <w:sz w:val="22"/>
          <w:szCs w:val="22"/>
          <w:color w:val="auto"/>
        </w:rPr>
        <w:t>by the D&amp;O policy. The provisions in this Section 7 shall survive the termination of this Agreement.</w:t>
      </w:r>
    </w:p>
    <w:p>
      <w:pPr>
        <w:spacing w:after="0" w:line="14" w:lineRule="exact"/>
        <w:rPr>
          <w:sz w:val="20"/>
          <w:szCs w:val="20"/>
          <w:color w:val="auto"/>
        </w:rPr>
      </w:pPr>
    </w:p>
    <w:p>
      <w:pPr>
        <w:ind w:left="1020" w:hanging="263"/>
        <w:spacing w:after="0"/>
        <w:tabs>
          <w:tab w:leader="none" w:pos="10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208" w:lineRule="exact"/>
        <w:rPr>
          <w:sz w:val="20"/>
          <w:szCs w:val="20"/>
          <w:color w:val="auto"/>
        </w:rPr>
      </w:pPr>
    </w:p>
    <w:p>
      <w:pPr>
        <w:jc w:val="both"/>
        <w:ind w:firstLine="757"/>
        <w:spacing w:after="0" w:line="236" w:lineRule="auto"/>
        <w:tabs>
          <w:tab w:leader="none" w:pos="101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defend and indemnify Consultant, to the fullest extent permitted by law against any and all threatened, pending, or completed action, suit, proceeding, or alternative dispute resolution mechanism, whether civil, criminal, administrative, arbitrative, investigative, or other, and whether made pursuant to federal, state, or other law (each, a “Claim”) against Consultant as a result of the Consultant’s performance of the Services or as result of the Consultant’s prior work as an employee and officer of the Company, including without limitation Claims brought by or in the right of the Company, Claims brought by third parties, and Claims in which Consultant is solely a witness.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(b)Consultant shall have the right to advancement by the Company, prior to the final disposition of any Claim by final adjudication to which there are no further rights of appeal, of any and all Expenses (as that term is defined below) actually and reasonably paid or incurred by Consultant in connection with any Claim. Consultant’s right to such advancement is not subject to the satisfaction of any standard of conduct. Without limiting the generality or effect of the foregoing, within ten (10) days after any written request by Consultant, the Company shall, in accordance with such request, (a) pay such Expenses on behalf of Consultant, (b) advance to Consultant funds in an amount sufficient to pay such Expenses, or (c) reimburse Consultant for such Expenses.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in, or participate in, any Claim.</w:t>
      </w:r>
    </w:p>
    <w:p>
      <w:pPr>
        <w:spacing w:after="0" w:line="176" w:lineRule="exact"/>
        <w:rPr>
          <w:sz w:val="20"/>
          <w:szCs w:val="20"/>
          <w:color w:val="auto"/>
        </w:rPr>
      </w:pPr>
    </w:p>
    <w:p>
      <w:pPr>
        <w:ind w:firstLine="757"/>
        <w:spacing w:after="0" w:line="258" w:lineRule="auto"/>
        <w:tabs>
          <w:tab w:leader="none" w:pos="101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or effect of the foregoing, Consultants right to indemnification and advancement of Expenses shall be no less favorable than that of any officer of the Company.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(d)The provisions in this Section 8 shall survive the termination of this Agreement.</w:t>
      </w:r>
    </w:p>
    <w:p>
      <w:pPr>
        <w:spacing w:after="0" w:line="201" w:lineRule="exact"/>
        <w:rPr>
          <w:sz w:val="20"/>
          <w:szCs w:val="20"/>
          <w:color w:val="auto"/>
        </w:rPr>
      </w:pPr>
    </w:p>
    <w:p>
      <w:pPr>
        <w:ind w:left="1020" w:hanging="263"/>
        <w:spacing w:after="0"/>
        <w:tabs>
          <w:tab w:leader="none" w:pos="10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36" w:lineRule="exact"/>
        <w:rPr>
          <w:sz w:val="20"/>
          <w:szCs w:val="20"/>
          <w:color w:val="auto"/>
        </w:rPr>
      </w:pPr>
    </w:p>
    <w:p>
      <w:pPr>
        <w:jc w:val="both"/>
        <w:ind w:firstLine="757"/>
        <w:spacing w:after="0" w:line="244" w:lineRule="auto"/>
        <w:tabs>
          <w:tab w:leader="none" w:pos="11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of the provisions of this Agreement, or the application of any such provisions to Consultant or the Company with respect to obligations hereunder, is held to be unlawful or unenforceable by any court, then the remaining portions of this Agreement shall remain in full force and effect and shall not be invalidated or impaired in any manner.</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by any party of the breach of any term or covenant contained in this Agreement, whether by conduct or otherwise, in any one or more instances, shall be deemed to be, or construed as, a further or continuing waiver of any such breach, or a waiver of any other term or covenant contained in this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80" w:lineRule="auto"/>
        <w:tabs>
          <w:tab w:leader="none" w:pos="11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(including all Exhibits hereto) contains the entire agreement between Consultant and the Company with respect to the subject matter of this Agreement (including all Exhibits hereto), and supersedes any and all prior agreements and understandings, whether verbal or written, between Consultant and the Company with respect to the subject matter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4" w:name="page125"/>
    <w:bookmarkEnd w:id="124"/>
    <w:p>
      <w:pPr>
        <w:spacing w:after="0" w:line="258" w:lineRule="auto"/>
        <w:rPr>
          <w:sz w:val="20"/>
          <w:szCs w:val="20"/>
          <w:color w:val="auto"/>
        </w:rPr>
      </w:pPr>
      <w:r>
        <w:rPr>
          <w:rFonts w:ascii="Times New Roman" w:cs="Times New Roman" w:eastAsia="Times New Roman" w:hAnsi="Times New Roman"/>
          <w:sz w:val="22"/>
          <w:szCs w:val="22"/>
          <w:color w:val="auto"/>
        </w:rPr>
        <w:t>of this Agreement (including all Exhibits hereto). This Agreement may be amended only by an agreement in writing signed by Consultant and the Company.</w:t>
      </w:r>
    </w:p>
    <w:p>
      <w:pPr>
        <w:spacing w:after="0" w:line="157" w:lineRule="exact"/>
        <w:rPr>
          <w:sz w:val="20"/>
          <w:szCs w:val="20"/>
          <w:color w:val="auto"/>
        </w:rPr>
      </w:pPr>
    </w:p>
    <w:p>
      <w:pPr>
        <w:ind w:firstLine="757"/>
        <w:spacing w:after="0" w:line="258" w:lineRule="auto"/>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assigned by Consultant or the Company without the other party’s consent, and any such attempted assignment shall be void and of no effect.</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language of this Agreement are the result of arm’s length negotiations between the parties. Consequently, there shall be no presumption that any ambiguity in this Agreement should be resolved in favor of one party and against another. Any controversy concerning the construction of this Agreement shall be decided neutrally without regard to authorship.</w:t>
      </w:r>
    </w:p>
    <w:p>
      <w:pPr>
        <w:spacing w:after="0" w:line="178"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titles and headings of sections and subsections contained in this Agreement are included solely for convenience of reference and will not control the meaning or interpretation of any of the provisions of this Agreement.</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each of which so executed shall be deemed to be an original, and such counterparts shall together constitute but one agreement. Each party may execute this Agreement in Adobe Portable Document Format or in a similar format (“PDF”) sent by electronic mail. In addition, PDF signatures of authorized signatories of any party will be deemed to be original signatures and will be valid and binding, and delivery of a PDF signature by any party will constitute due execution and delivery of this Agreement.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Texas, without giving effect to its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as of the date first written above.</w:t>
      </w:r>
    </w:p>
    <w:p>
      <w:pPr>
        <w:spacing w:after="0" w:line="201"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ALAUNOS THERAPEUTICS, INC.</w:t>
      </w:r>
      <w:r>
        <w:rPr>
          <w:sz w:val="20"/>
          <w:szCs w:val="20"/>
          <w:color w:val="auto"/>
        </w:rPr>
        <w:tab/>
      </w:r>
      <w:r>
        <w:rPr>
          <w:rFonts w:ascii="Times New Roman" w:cs="Times New Roman" w:eastAsia="Times New Roman" w:hAnsi="Times New Roman"/>
          <w:sz w:val="20"/>
          <w:szCs w:val="20"/>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_/s/ Dale Curtis Hogue, Jr.</w:t>
            </w:r>
          </w:p>
        </w:tc>
        <w:tc>
          <w:tcPr>
            <w:tcW w:w="76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__/s/ Ferdinand Groenewald___</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Groenewald</w:t>
            </w:r>
          </w:p>
        </w:tc>
        <w:tc>
          <w:tcPr>
            <w:tcW w:w="0" w:type="dxa"/>
            <w:vAlign w:val="bottom"/>
          </w:tcPr>
          <w:p>
            <w:pPr>
              <w:spacing w:after="0" w:line="20" w:lineRule="exact"/>
              <w:rPr>
                <w:sz w:val="1"/>
                <w:szCs w:val="1"/>
                <w:color w:val="auto"/>
              </w:rPr>
            </w:pPr>
          </w:p>
        </w:tc>
      </w:tr>
      <w:tr>
        <w:trPr>
          <w:trHeight w:val="236"/>
        </w:trPr>
        <w:tc>
          <w:tcPr>
            <w:tcW w:w="380" w:type="dxa"/>
            <w:vAlign w:val="bottom"/>
            <w:vMerge w:val="continue"/>
          </w:tcPr>
          <w:p>
            <w:pPr>
              <w:spacing w:after="0"/>
              <w:rPr>
                <w:sz w:val="20"/>
                <w:szCs w:val="20"/>
                <w:color w:val="auto"/>
              </w:rPr>
            </w:pPr>
          </w:p>
        </w:tc>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5"/>
              </w:rPr>
              <w:t>Name:</w:t>
            </w:r>
          </w:p>
        </w:tc>
        <w:tc>
          <w:tcPr>
            <w:tcW w:w="2660" w:type="dxa"/>
            <w:vAlign w:val="bottom"/>
            <w:gridSpan w:val="2"/>
          </w:tcPr>
          <w:p>
            <w:pPr>
              <w:ind w:left="460"/>
              <w:spacing w:after="0" w:line="236" w:lineRule="exact"/>
              <w:rPr>
                <w:sz w:val="20"/>
                <w:szCs w:val="20"/>
                <w:color w:val="auto"/>
              </w:rPr>
            </w:pPr>
            <w:r>
              <w:rPr>
                <w:rFonts w:ascii="Times New Roman" w:cs="Times New Roman" w:eastAsia="Times New Roman" w:hAnsi="Times New Roman"/>
                <w:sz w:val="22"/>
                <w:szCs w:val="22"/>
                <w:color w:val="auto"/>
              </w:rPr>
              <w:t>Dale Curtis Hogue, Jr.</w:t>
            </w:r>
          </w:p>
        </w:tc>
        <w:tc>
          <w:tcPr>
            <w:tcW w:w="480" w:type="dxa"/>
            <w:vAlign w:val="bottom"/>
            <w:vMerge w:val="continue"/>
          </w:tcPr>
          <w:p>
            <w:pPr>
              <w:spacing w:after="0"/>
              <w:rPr>
                <w:sz w:val="20"/>
                <w:szCs w:val="20"/>
                <w:color w:val="auto"/>
              </w:rPr>
            </w:pPr>
          </w:p>
        </w:tc>
        <w:tc>
          <w:tcPr>
            <w:tcW w:w="2240" w:type="dxa"/>
            <w:vAlign w:val="bottom"/>
          </w:tcPr>
          <w:p>
            <w:pPr>
              <w:jc w:val="center"/>
              <w:ind w:left="672"/>
              <w:spacing w:after="0" w:line="236" w:lineRule="exact"/>
              <w:rPr>
                <w:sz w:val="20"/>
                <w:szCs w:val="20"/>
                <w:color w:val="auto"/>
              </w:rPr>
            </w:pPr>
            <w:r>
              <w:rPr>
                <w:rFonts w:ascii="Times New Roman" w:cs="Times New Roman" w:eastAsia="Times New Roman" w:hAnsi="Times New Roman"/>
                <w:sz w:val="22"/>
                <w:szCs w:val="22"/>
                <w:color w:val="auto"/>
                <w:w w:val="95"/>
              </w:rPr>
              <w:t>Name: Ferdinand</w:t>
            </w:r>
          </w:p>
        </w:tc>
        <w:tc>
          <w:tcPr>
            <w:tcW w:w="4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96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Title:</w:t>
            </w: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CEO (interim)</w:t>
            </w: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rPr>
              <w:t>5</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5" w:name="page126"/>
    <w:bookmarkEnd w:id="125"/>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Services</w:t>
      </w:r>
    </w:p>
    <w:p>
      <w:pPr>
        <w:spacing w:after="0" w:line="2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Consultant shall lead the accounting and financial reporting function of the Company. Consultant will work directly with the Board of Directors, Company employees and other consultants to ensure proper and complete monthly / quarterly close processes. Consultant will partner with the business in making decisions and promoting continuous improvement. This is a hands-on role that reports directly to the CEO and Board Chair. Further specific responsibilities will include, but not be limited to the following:</w:t>
      </w:r>
    </w:p>
    <w:p>
      <w:pPr>
        <w:spacing w:after="0" w:line="207" w:lineRule="exact"/>
        <w:rPr>
          <w:sz w:val="20"/>
          <w:szCs w:val="20"/>
          <w:color w:val="auto"/>
        </w:rPr>
      </w:pPr>
    </w:p>
    <w:p>
      <w:pPr>
        <w:ind w:left="760" w:right="1120" w:hanging="378"/>
        <w:spacing w:after="0" w:line="258"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 accounting and financial reporting activities of the Company in accordance with U.S. GAAP and SEC requirements</w:t>
      </w:r>
    </w:p>
    <w:p>
      <w:pPr>
        <w:spacing w:after="0" w:line="18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effective financial close process and timely SEC filings (10-Q, 10-K, 8-K, registration statements, etc.)</w:t>
      </w:r>
    </w:p>
    <w:p>
      <w:pPr>
        <w:spacing w:after="0" w:line="23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Principal Accounting Officer for the Company</w:t>
      </w:r>
    </w:p>
    <w:p>
      <w:pPr>
        <w:spacing w:after="0" w:line="232"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or review general ledger account reconciliations, including journal entries and supporting documentation, to validate accuracy of reported balances</w:t>
      </w:r>
    </w:p>
    <w:p>
      <w:pPr>
        <w:spacing w:after="0" w:line="184" w:lineRule="exact"/>
        <w:rPr>
          <w:rFonts w:ascii="Times New Roman" w:cs="Times New Roman" w:eastAsia="Times New Roman" w:hAnsi="Times New Roman"/>
          <w:sz w:val="22"/>
          <w:szCs w:val="22"/>
          <w:color w:val="auto"/>
        </w:rPr>
      </w:pPr>
    </w:p>
    <w:p>
      <w:pPr>
        <w:ind w:left="760" w:right="80" w:hanging="378"/>
        <w:spacing w:after="0" w:line="258"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Responsible for maintaining a strong public company internal control environment in accordance with the provisions of the Sarbanes-Oxley Act within the accounting and reporting function</w:t>
      </w:r>
    </w:p>
    <w:p>
      <w:pPr>
        <w:spacing w:after="0" w:line="18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U.S. GAAP technical resource, including literature research and application to transactions or processes</w:t>
      </w:r>
    </w:p>
    <w:p>
      <w:pPr>
        <w:spacing w:after="0" w:line="23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Liaise with external tax consultants to ensure compliance with all tax jurisdictions</w:t>
      </w:r>
    </w:p>
    <w:p>
      <w:pPr>
        <w:spacing w:after="0" w:line="232"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update accounting policies and procedures to ensure compliance with U.S. GAAP, including the adoption of new accounting pronouncements</w:t>
      </w:r>
    </w:p>
    <w:p>
      <w:pPr>
        <w:spacing w:after="0" w:line="18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Serve as key contact with internal and external auditors</w:t>
      </w:r>
    </w:p>
    <w:p>
      <w:pPr>
        <w:spacing w:after="0" w:line="23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present Audit Committee / Board of Directors materials and communications</w:t>
      </w:r>
    </w:p>
    <w:p>
      <w:pPr>
        <w:spacing w:after="0" w:line="23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 the treasury function</w:t>
      </w:r>
    </w:p>
    <w:p>
      <w:pPr>
        <w:spacing w:after="0" w:line="232"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management with transfer agent and awards in Certent (equity management tool)</w:t>
      </w:r>
    </w:p>
    <w:p>
      <w:pPr>
        <w:spacing w:after="0" w:line="232" w:lineRule="exact"/>
        <w:rPr>
          <w:rFonts w:ascii="Times New Roman" w:cs="Times New Roman" w:eastAsia="Times New Roman" w:hAnsi="Times New Roman"/>
          <w:sz w:val="22"/>
          <w:szCs w:val="22"/>
          <w:color w:val="auto"/>
        </w:rPr>
      </w:pPr>
    </w:p>
    <w:p>
      <w:pPr>
        <w:ind w:left="760" w:right="880" w:hanging="378"/>
        <w:spacing w:after="0" w:line="258"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Motivated in taking on tasks beyond formal job responsibilities and ability to work in a dynamic and changing environment</w:t>
      </w:r>
    </w:p>
    <w:p>
      <w:pPr>
        <w:spacing w:after="0" w:line="18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and pay invoices and payroll; ability to execute accounts payable function</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3" w:right="399" w:bottom="1440" w:gutter="0" w:footer="0" w:header="0"/>
        </w:sectPr>
      </w:pPr>
    </w:p>
    <w:bookmarkStart w:id="126" w:name="page127"/>
    <w:bookmarkEnd w:id="126"/>
    <w:p>
      <w:pPr>
        <w:spacing w:after="0" w:line="210" w:lineRule="exact"/>
        <w:rPr>
          <w:sz w:val="20"/>
          <w:szCs w:val="20"/>
          <w:color w:val="auto"/>
        </w:rPr>
      </w:pPr>
    </w:p>
    <w:p>
      <w:pPr>
        <w:ind w:left="378" w:hanging="378"/>
        <w:spacing w:after="0"/>
        <w:tabs>
          <w:tab w:leader="none" w:pos="37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Drive the timing for monthly billing and other cash management and expense management techniques</w:t>
      </w:r>
    </w:p>
    <w:p>
      <w:pPr>
        <w:spacing w:after="0" w:line="255"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Ongoing financial planning and analysis and financial forecasting processes</w:t>
      </w:r>
    </w:p>
    <w:p>
      <w:pPr>
        <w:spacing w:after="0" w:line="232"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 and present period end analytical reviews of financial information</w:t>
      </w:r>
    </w:p>
    <w:p>
      <w:pPr>
        <w:spacing w:after="0" w:line="232"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ad-hoc reporting and analysis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98"/>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494665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1440" w:right="1440" w:bottom="1440" w:gutter="0" w:footer="0" w:header="0"/>
        </w:sectPr>
      </w:pPr>
    </w:p>
    <w:bookmarkStart w:id="127" w:name="page128"/>
    <w:bookmarkEnd w:id="127"/>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Service Fee</w:t>
      </w:r>
    </w:p>
    <w:p>
      <w:pPr>
        <w:spacing w:after="0" w:line="236" w:lineRule="exact"/>
        <w:rPr>
          <w:sz w:val="20"/>
          <w:szCs w:val="20"/>
          <w:color w:val="auto"/>
        </w:rPr>
      </w:pPr>
    </w:p>
    <w:p>
      <w:pPr>
        <w:ind w:firstLine="757"/>
        <w:spacing w:after="0" w:line="258" w:lineRule="auto"/>
        <w:tabs>
          <w:tab w:leader="none" w:pos="119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$15,000 per month rate paid in U.S. dollars by the Company to Consultant for the entire Term of this Agreement, unless otherwise agreed by the Company and Consultant in writing.</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Consultant for any usual and customary business expenses as may be reasonably required to provide the services to the Company for the term of this Agreement (e.g. office supplies, travel time and mileage).</w:t>
      </w:r>
    </w:p>
    <w:p>
      <w:pPr>
        <w:spacing w:after="0" w:line="199" w:lineRule="exact"/>
        <w:rPr>
          <w:rFonts w:ascii="Times New Roman" w:cs="Times New Roman" w:eastAsia="Times New Roman" w:hAnsi="Times New Roman"/>
          <w:sz w:val="22"/>
          <w:szCs w:val="22"/>
          <w:color w:val="auto"/>
        </w:rPr>
      </w:pPr>
    </w:p>
    <w:p>
      <w:pPr>
        <w:ind w:right="20" w:firstLine="757"/>
        <w:spacing w:after="0" w:line="258" w:lineRule="auto"/>
        <w:tabs>
          <w:tab w:leader="none" w:pos="122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Consultant</w:t>
      </w:r>
      <w:r>
        <w:rPr>
          <w:rFonts w:ascii="Times New Roman" w:cs="Times New Roman" w:eastAsia="Times New Roman" w:hAnsi="Times New Roman"/>
          <w:sz w:val="22"/>
          <w:szCs w:val="22"/>
          <w:color w:val="auto"/>
        </w:rPr>
        <w:t>: Consultant will be paid monthly on the first day of the month for services rendered the previous month (or fraction of month for first payment).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40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consent to the incorporation by reference in the Registration Statements (Nos. 333-129884, 333 134280, 333-142701, 333-160496, 333-167925, 333-185433, 333-199304, 333-220804, 333 228291, 333-238090, 333-241698 and 333-263983) on Form S-8 and Registration Statements (Nos. 333-134279, 333-141014, 333-161453, 333-162160, 333-163517, 333-166444, 333-174292, 333 177793, 333-201826, 333-229555, 333-232283 and 333-266841) on Form S-3 of Alaunos Therapeutics, Inc. of our report dated April 1, 2024, relating to the financial statements of Alaunos Therapeutics, Inc., appearing in this Annual Report on Form 10-K of Alaunos Therapeutics, Inc. for the year ended December 31, 2023.</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Dale Curtis Hogue, Jr.., certify that:</w:t>
      </w:r>
    </w:p>
    <w:p>
      <w:pPr>
        <w:spacing w:after="0" w:line="27" w:lineRule="exact"/>
        <w:rPr>
          <w:sz w:val="20"/>
          <w:szCs w:val="20"/>
          <w:color w:val="auto"/>
        </w:rPr>
      </w:pPr>
    </w:p>
    <w:p>
      <w:pPr>
        <w:ind w:left="760" w:hanging="752"/>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Alaunos Therapeutics, Inc.;</w:t>
      </w:r>
    </w:p>
    <w:p>
      <w:pPr>
        <w:spacing w:after="0" w:line="8"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60" w:hanging="752"/>
        <w:spacing w:after="0" w:line="250"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752"/>
        <w:spacing w:after="0" w:line="250"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60" w:hanging="743"/>
        <w:spacing w:after="0" w:line="250" w:lineRule="auto"/>
        <w:tabs>
          <w:tab w:leader="none" w:pos="1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500" w:right="220" w:hanging="743"/>
        <w:spacing w:after="0" w:line="250" w:lineRule="auto"/>
        <w:tabs>
          <w:tab w:leader="none" w:pos="1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right="20" w:hanging="743"/>
        <w:spacing w:after="0" w:line="264" w:lineRule="auto"/>
        <w:tabs>
          <w:tab w:leader="none" w:pos="150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500" w:right="20" w:hanging="743"/>
        <w:spacing w:after="0" w:line="250" w:lineRule="auto"/>
        <w:tabs>
          <w:tab w:leader="none" w:pos="1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80" w:hanging="752"/>
        <w:spacing w:after="0" w:line="264" w:lineRule="auto"/>
        <w:tabs>
          <w:tab w:leader="none" w:pos="7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1500" w:right="260" w:hanging="743"/>
        <w:spacing w:after="0" w:line="250" w:lineRule="auto"/>
        <w:tabs>
          <w:tab w:leader="none" w:pos="1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60" w:lineRule="auto"/>
        <w:tabs>
          <w:tab w:leader="none" w:pos="15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Dale Curtis Hogue,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745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8">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Dale Curtis Hogue, Jr.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Alaunos Therapeutics, Inc. (the “Company”) on Form 10-K for the year ended December 31, 2023, as filed with the Securities and Exchange Commission on the date hereof (the “Report”), I, Dale Curtis Hogue, Jr.,, Interim Chief Executive Officer and Director (and Principal Executive Officer and Principal Financial Officer) of the Company, certify, pursuant to 18 U.S.C. Section 1350, as adopted pursuant to Section 906 of the Sarbanes-Oxley Act of 2002, that:</w:t>
      </w:r>
    </w:p>
    <w:p>
      <w:pPr>
        <w:spacing w:after="0" w:line="141" w:lineRule="exact"/>
        <w:rPr>
          <w:sz w:val="20"/>
          <w:szCs w:val="20"/>
          <w:color w:val="auto"/>
        </w:rPr>
      </w:pPr>
    </w:p>
    <w:p>
      <w:pPr>
        <w:ind w:left="760" w:hanging="378"/>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Dale Curtis Hogue,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567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0">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Dale Curtis Hogue, Jr.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 and Director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7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Alaunos Therapeutcs, Inc.</w:t>
      </w:r>
    </w:p>
    <w:p>
      <w:pPr>
        <w:jc w:val="center"/>
        <w:spacing w:after="0" w:line="234" w:lineRule="auto"/>
        <w:rPr>
          <w:sz w:val="20"/>
          <w:szCs w:val="20"/>
          <w:color w:val="auto"/>
        </w:rPr>
      </w:pPr>
      <w:r>
        <w:rPr>
          <w:rFonts w:ascii="Calibri" w:cs="Calibri" w:eastAsia="Calibri" w:hAnsi="Calibri"/>
          <w:sz w:val="20"/>
          <w:szCs w:val="20"/>
          <w:b w:val="1"/>
          <w:bCs w:val="1"/>
          <w:color w:val="auto"/>
        </w:rPr>
        <w:t>Compensaton Clawback Policy</w:t>
      </w:r>
    </w:p>
    <w:p>
      <w:pPr>
        <w:spacing w:after="0" w:line="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Adopted October 3,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Purpose</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Board of Directors (the “Board”) of Alaunos Therapeutcs, Inc. (the “Corporaton”) has adopted this compensaton clawback policy (the “Policy”) which provides for the recoupment of incentve-based compensaton in the event of an accountng restatement. This Policy is intended to comply with Secton 10D of the Securites Exchange Act of 1934 (the “Act”), the rules promulgated thereunder by the Securites and Exchange Commission (the “SEC”), and the listng standards of The Nasdaq Stock Market LLC (“Nasdaq” and such rules and listng standards the “Applicable Rules”), and will be interpreted consistent therewith.</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Applicability and Efectve Date</w:t>
      </w:r>
    </w:p>
    <w:p>
      <w:pPr>
        <w:spacing w:after="0" w:line="217"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This Policy is efectve October 2, 2023 (the “Efectve Date”) and is applicable to all Incentve-Based Compensaton (as defned below) received by Executve Ofcers (as defned below) afer the Efectve Date. The Policy will be administered by the Board or, if so designated by the Board, the Compensaton Commitee of the Board (the “Commitee”), in which case references to the Board will be deemed to be references to the Commitee. Any determinaton made by the Board under this Policy will be fnal and binding on all afected individuals. Each Executve Ofcer shall be required to execute the acknowledgement in Appendix A of this Policy as soon as practcable afer the later of (i) the Efectve Date and (ii) the date on which the employee is designated as an Executve Ofcer; provided, however, that failure to execute such acknowledgement shall have no impact on the enforceability of this Policy.</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Restatement Clawback</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the event the Corporaton is required to prepare an Accountng Restatement (as defned below), any Executve Ofcer who received Excess Compensaton (as defned below) during the three (3) completed fscal years preceding the date the Corporaton is required to prepare an Accountng Restatement (the “Look-Back Period”) shall be required to repay or forfeit such Excess Compensaton reasonably promptly. For purposes of this Policy, the date the Corporaton is required to prepare an Accountng Restatement is deemed to be the earlier of the date (i) the Board concludes, or reasonably should have concluded, that the Corporaton is required to prepare an Accountng Restatement, or (ii) a court, regulator, or other legally authorized body directs the Corporaton to prepare an Accountng Restatement.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Method of Repayment, Conditons for Non-Recovery</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Board shall have discreton to determine the appropriate means of recovery of Excess Compensaton, which may include, without limitaton, direct payment in a lump sum from the Executve Ofcer, recovery over tme, cancellaton of outstanding awards, the reducton of future pay and/or awards, and/or any other method which the Board determines is advisable to achieve reasonably prompt recovery of Excess Compensaton. At the directon of the Board, the Corporaton shall take all actons reasonable and appropriate to recover Excess Compensaton from any applicable Executve Ofcer, and such Executve Ofcer shall be required to reimburse the Corporaton for any and all expenses reasonably incurred (including legal fees) by the Corporaton in recovering such Excess Compensaton in accordance with this Policy.</w:t>
      </w:r>
    </w:p>
    <w:p>
      <w:pPr>
        <w:spacing w:after="0" w:line="219" w:lineRule="exact"/>
        <w:rPr>
          <w:sz w:val="20"/>
          <w:szCs w:val="20"/>
          <w:color w:val="auto"/>
        </w:rPr>
      </w:pPr>
    </w:p>
    <w:p>
      <w:pPr>
        <w:ind w:right="80"/>
        <w:spacing w:after="0" w:line="243" w:lineRule="auto"/>
        <w:rPr>
          <w:sz w:val="20"/>
          <w:szCs w:val="20"/>
          <w:color w:val="auto"/>
        </w:rPr>
      </w:pPr>
      <w:r>
        <w:rPr>
          <w:rFonts w:ascii="Calibri" w:cs="Calibri" w:eastAsia="Calibri" w:hAnsi="Calibri"/>
          <w:sz w:val="18"/>
          <w:szCs w:val="18"/>
          <w:color w:val="auto"/>
        </w:rPr>
        <w:t>The Commitee, or in the absence of the Commitee, a majority of the independent directors on the Board, may determine that repayment of Excess Compensaton (or a porton thereof) is not required only where it determines that recovery would be impractcable and one of the following circumstances exists: (i) the direct expense paid to a third party to assist in enforcing this Policy would exceed the amount to be recovered, provided the Corporaton has (A) made a reasonable atempt to recover such Excess Compensaton, (B) documented such reasonable atempt, and (C) provided such documentaton to Nasdaq; or (ii) recovery would likely cause an otherwise tax-qualifed retrement plan, under which benefts are broadly available to employees of the Corporaton, to fail to meet the requirements of 26 U.S.C. 401(a)(13) or 26 U.S.C. 411(a) and the regulatons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2" w:name="page133"/>
    <w:bookmarkEnd w:id="132"/>
    <w:p>
      <w:pPr>
        <w:spacing w:after="0"/>
        <w:rPr>
          <w:sz w:val="20"/>
          <w:szCs w:val="20"/>
          <w:color w:val="auto"/>
        </w:rPr>
      </w:pPr>
      <w:r>
        <w:rPr>
          <w:rFonts w:ascii="Calibri" w:cs="Calibri" w:eastAsia="Calibri" w:hAnsi="Calibri"/>
          <w:sz w:val="18"/>
          <w:szCs w:val="18"/>
          <w:b w:val="1"/>
          <w:bCs w:val="1"/>
          <w:color w:val="auto"/>
        </w:rPr>
        <w:t>No Fault Applicaton, No Indemnifcaton</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Recovery of Excess Compensaton under this Policy is on a “no fault” basis, meaning that it will occur regardless of whether the Executve Ofcer engaged in misconduct or was otherwise directly or indirectly responsible, in whole or in part, for the Accountng Restatement. No Executve Ofcer may be indemnifed by the Corporaton, or any of its afliates, from losses arising from the applicaton of this Policy.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Defnitons</w:t>
      </w:r>
    </w:p>
    <w:p>
      <w:pPr>
        <w:spacing w:after="0" w:line="235" w:lineRule="auto"/>
        <w:rPr>
          <w:sz w:val="20"/>
          <w:szCs w:val="20"/>
          <w:color w:val="auto"/>
        </w:rPr>
      </w:pPr>
      <w:r>
        <w:rPr>
          <w:rFonts w:ascii="Calibri" w:cs="Calibri" w:eastAsia="Calibri" w:hAnsi="Calibri"/>
          <w:sz w:val="18"/>
          <w:szCs w:val="18"/>
          <w:color w:val="auto"/>
        </w:rPr>
        <w:t>For purposes of this Policy, the following defnitons will apply:</w:t>
      </w:r>
    </w:p>
    <w:p>
      <w:pPr>
        <w:spacing w:after="0" w:line="217" w:lineRule="exact"/>
        <w:rPr>
          <w:sz w:val="20"/>
          <w:szCs w:val="20"/>
          <w:color w:val="auto"/>
        </w:rPr>
      </w:pPr>
    </w:p>
    <w:p>
      <w:pPr>
        <w:ind w:left="760" w:right="60"/>
        <w:spacing w:after="0" w:line="252" w:lineRule="auto"/>
        <w:rPr>
          <w:sz w:val="20"/>
          <w:szCs w:val="20"/>
          <w:color w:val="auto"/>
        </w:rPr>
      </w:pPr>
      <w:r>
        <w:rPr>
          <w:rFonts w:ascii="Calibri" w:cs="Calibri" w:eastAsia="Calibri" w:hAnsi="Calibri"/>
          <w:sz w:val="17"/>
          <w:szCs w:val="17"/>
          <w:b w:val="1"/>
          <w:bCs w:val="1"/>
          <w:color w:val="auto"/>
        </w:rPr>
        <w:t xml:space="preserve">“Accountng Restatement” </w:t>
      </w:r>
      <w:r>
        <w:rPr>
          <w:rFonts w:ascii="Calibri" w:cs="Calibri" w:eastAsia="Calibri" w:hAnsi="Calibri"/>
          <w:sz w:val="17"/>
          <w:szCs w:val="17"/>
          <w:color w:val="auto"/>
        </w:rPr>
        <w:t>means an accountng restatement due to the material noncompliance of the Corporaton with any fnancial reportng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requirement under securites laws, including any required accountng restatement to correct an error in previously issued fnancial statements that is material to the previously issued fnancial statements, or that corrects an error that is not material to previously issued fnancial statements but would result in a material misstatement if the error were corrected in the current period or lef uncorrected in the current period.</w:t>
      </w:r>
    </w:p>
    <w:p>
      <w:pPr>
        <w:spacing w:after="0" w:line="207" w:lineRule="exact"/>
        <w:rPr>
          <w:sz w:val="20"/>
          <w:szCs w:val="20"/>
          <w:color w:val="auto"/>
        </w:rPr>
      </w:pPr>
    </w:p>
    <w:p>
      <w:pPr>
        <w:ind w:left="760"/>
        <w:spacing w:after="0" w:line="235" w:lineRule="auto"/>
        <w:rPr>
          <w:sz w:val="20"/>
          <w:szCs w:val="20"/>
          <w:color w:val="auto"/>
        </w:rPr>
      </w:pPr>
      <w:r>
        <w:rPr>
          <w:rFonts w:ascii="Calibri" w:cs="Calibri" w:eastAsia="Calibri" w:hAnsi="Calibri"/>
          <w:sz w:val="18"/>
          <w:szCs w:val="18"/>
          <w:color w:val="auto"/>
        </w:rPr>
        <w:t>Changes to fnancial statements that do not consttute an Accountng Restatement include retroactve: (i) applicaton of a change from one generally accepted accountng principle to another generally accepted accountng principle; (ii) revisions to reportable segment informaton due to a change in internal organizaton; (iii) reclassifcaton due to a discontnued operaton; (iv) applicaton of a change in reportng entty, such as from a reorganizaton of enttes under common control; and (v) revisions for stock splits, reverse stock splits, stock dividends, or other changes in capital structure.</w:t>
      </w:r>
    </w:p>
    <w:p>
      <w:pPr>
        <w:spacing w:after="0" w:line="219" w:lineRule="exact"/>
        <w:rPr>
          <w:sz w:val="20"/>
          <w:szCs w:val="20"/>
          <w:color w:val="auto"/>
        </w:rPr>
      </w:pPr>
    </w:p>
    <w:p>
      <w:pPr>
        <w:ind w:left="760" w:right="100"/>
        <w:spacing w:after="0" w:line="235" w:lineRule="auto"/>
        <w:rPr>
          <w:sz w:val="20"/>
          <w:szCs w:val="20"/>
          <w:color w:val="auto"/>
        </w:rPr>
      </w:pPr>
      <w:r>
        <w:rPr>
          <w:rFonts w:ascii="Calibri" w:cs="Calibri" w:eastAsia="Calibri" w:hAnsi="Calibri"/>
          <w:sz w:val="18"/>
          <w:szCs w:val="18"/>
          <w:b w:val="1"/>
          <w:bCs w:val="1"/>
          <w:color w:val="auto"/>
        </w:rPr>
        <w:t xml:space="preserve">“Excess Compensaton” </w:t>
      </w:r>
      <w:r>
        <w:rPr>
          <w:rFonts w:ascii="Calibri" w:cs="Calibri" w:eastAsia="Calibri" w:hAnsi="Calibri"/>
          <w:sz w:val="18"/>
          <w:szCs w:val="18"/>
          <w:color w:val="auto"/>
        </w:rPr>
        <w:t>means any amount of Incentve-Based Compensaton received by an Executve Ofcer afer commencement of service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 Executve Ofcer that exceeds the amount of Incentve-Based Compensaton that otherwise would have been received had it been determined based on the Accountng Restatement, computed without regard to any taxes paid. For Incentve Compensaton based on stock price or total shareholder return, where the amount to be recovered is not subject to mathematcal recalculaton directly from informaton in the Accountng Restatement, the amount to be recovered shall be based on a reasonable estmate of the efect of the Accountng Restatement on the stock price or total shareholder return, as applicable, and the Corporaton shall retain documentaton of the determinaton of such estmate and provide such documentaton to Nasdaq if so required by the Applicable Rules. Incentve-Based Compensaton is deemed received during the fscal year during which the applicable fnancial reportng measure, stock price and/or total shareholder return measure, upon which the payment is based, is achieved, even if the grant or payment occurs afer the end of such period.</w:t>
      </w:r>
    </w:p>
    <w:p>
      <w:pPr>
        <w:spacing w:after="0" w:line="221" w:lineRule="exact"/>
        <w:rPr>
          <w:sz w:val="20"/>
          <w:szCs w:val="20"/>
          <w:color w:val="auto"/>
        </w:rPr>
      </w:pPr>
    </w:p>
    <w:p>
      <w:pPr>
        <w:ind w:left="760" w:right="100"/>
        <w:spacing w:after="0" w:line="235" w:lineRule="auto"/>
        <w:rPr>
          <w:sz w:val="20"/>
          <w:szCs w:val="20"/>
          <w:color w:val="auto"/>
        </w:rPr>
      </w:pPr>
      <w:r>
        <w:rPr>
          <w:rFonts w:ascii="Calibri" w:cs="Calibri" w:eastAsia="Calibri" w:hAnsi="Calibri"/>
          <w:sz w:val="18"/>
          <w:szCs w:val="18"/>
          <w:b w:val="1"/>
          <w:bCs w:val="1"/>
          <w:color w:val="auto"/>
        </w:rPr>
        <w:t xml:space="preserve">“Executve Ofcer” </w:t>
      </w:r>
      <w:r>
        <w:rPr>
          <w:rFonts w:ascii="Calibri" w:cs="Calibri" w:eastAsia="Calibri" w:hAnsi="Calibri"/>
          <w:sz w:val="18"/>
          <w:szCs w:val="18"/>
          <w:color w:val="auto"/>
        </w:rPr>
        <w:t>means an individual who is, or was during the Look-Back Period, an executve ofcer of the Corporaton within the meaning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Rule 10D-1(d) under the Act.</w:t>
      </w:r>
    </w:p>
    <w:p>
      <w:pPr>
        <w:spacing w:after="0" w:line="217" w:lineRule="exact"/>
        <w:rPr>
          <w:sz w:val="20"/>
          <w:szCs w:val="20"/>
          <w:color w:val="auto"/>
        </w:rPr>
      </w:pPr>
    </w:p>
    <w:p>
      <w:pPr>
        <w:ind w:left="760" w:right="200"/>
        <w:spacing w:after="0" w:line="235" w:lineRule="auto"/>
        <w:rPr>
          <w:sz w:val="20"/>
          <w:szCs w:val="20"/>
          <w:color w:val="auto"/>
        </w:rPr>
      </w:pPr>
      <w:r>
        <w:rPr>
          <w:rFonts w:ascii="Calibri" w:cs="Calibri" w:eastAsia="Calibri" w:hAnsi="Calibri"/>
          <w:sz w:val="18"/>
          <w:szCs w:val="18"/>
          <w:b w:val="1"/>
          <w:bCs w:val="1"/>
          <w:color w:val="auto"/>
        </w:rPr>
        <w:t xml:space="preserve">“Incentve-Based Compensaton” </w:t>
      </w:r>
      <w:r>
        <w:rPr>
          <w:rFonts w:ascii="Calibri" w:cs="Calibri" w:eastAsia="Calibri" w:hAnsi="Calibri"/>
          <w:sz w:val="18"/>
          <w:szCs w:val="18"/>
          <w:color w:val="auto"/>
        </w:rPr>
        <w:t>means any compensaton that is granted, earned or vested based wholly or in part on stock price, total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shareholder return, and/or the atainment of (i) any fnancial reportng measure(s) that are determined and presented in accordance with the accountng principles used in preparing the Corporaton’s fnancial statements and/or (ii) any other measures that are derived in whole or in part from such measures.</w:t>
      </w:r>
    </w:p>
    <w:p>
      <w:pPr>
        <w:spacing w:after="0" w:line="218" w:lineRule="exact"/>
        <w:rPr>
          <w:sz w:val="20"/>
          <w:szCs w:val="20"/>
          <w:color w:val="auto"/>
        </w:rPr>
      </w:pPr>
    </w:p>
    <w:p>
      <w:pPr>
        <w:ind w:left="760"/>
        <w:spacing w:after="0" w:line="235" w:lineRule="auto"/>
        <w:rPr>
          <w:sz w:val="20"/>
          <w:szCs w:val="20"/>
          <w:color w:val="auto"/>
        </w:rPr>
      </w:pPr>
      <w:r>
        <w:rPr>
          <w:rFonts w:ascii="Calibri" w:cs="Calibri" w:eastAsia="Calibri" w:hAnsi="Calibri"/>
          <w:sz w:val="18"/>
          <w:szCs w:val="18"/>
          <w:color w:val="auto"/>
        </w:rPr>
        <w:t>Compensaton that does not consttute “Incentve-Based Compensaton” includes equity incentve awards for which the grant is not contngent upon achieving any fnancial reportng measure performance goal for an individual to receive such award and that vest exclusively upon completon of a specifed employment period, without any performance conditon, and bonus awards that are discretonary or based on subjectve goals or goals unrelated to fnancial reportng measures.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Administraton, Amendment, and Terminaton</w:t>
      </w:r>
    </w:p>
    <w:p>
      <w:pPr>
        <w:spacing w:after="0" w:line="200" w:lineRule="exact"/>
        <w:rPr>
          <w:sz w:val="20"/>
          <w:szCs w:val="20"/>
          <w:color w:val="auto"/>
        </w:rPr>
      </w:pPr>
    </w:p>
    <w:p>
      <w:pPr>
        <w:spacing w:after="0" w:line="239" w:lineRule="exact"/>
        <w:rPr>
          <w:sz w:val="20"/>
          <w:szCs w:val="20"/>
          <w:color w:val="auto"/>
        </w:rPr>
      </w:pPr>
    </w:p>
    <w:p>
      <w:pPr>
        <w:ind w:left="260"/>
        <w:spacing w:after="0"/>
        <w:rPr>
          <w:sz w:val="20"/>
          <w:szCs w:val="20"/>
          <w:color w:val="auto"/>
        </w:rPr>
      </w:pPr>
      <w:r>
        <w:rPr>
          <w:rFonts w:ascii="Calibri" w:cs="Calibri" w:eastAsia="Calibri" w:hAnsi="Calibri"/>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6" w:right="359" w:bottom="1440" w:gutter="0" w:footer="0" w:header="0"/>
        </w:sectPr>
      </w:pPr>
    </w:p>
    <w:bookmarkStart w:id="133" w:name="page134"/>
    <w:bookmarkEnd w:id="133"/>
    <w:p>
      <w:pPr>
        <w:ind w:right="100"/>
        <w:spacing w:after="0" w:line="235" w:lineRule="auto"/>
        <w:rPr>
          <w:sz w:val="20"/>
          <w:szCs w:val="20"/>
          <w:color w:val="auto"/>
        </w:rPr>
      </w:pPr>
      <w:r>
        <w:rPr>
          <w:rFonts w:ascii="Calibri" w:cs="Calibri" w:eastAsia="Calibri" w:hAnsi="Calibri"/>
          <w:sz w:val="18"/>
          <w:szCs w:val="18"/>
          <w:color w:val="auto"/>
        </w:rPr>
        <w:t>This Policy will be enforced and, if applicable, appropriate proxy disclosures and exhibit flings will be made in accordance with the Applicable Rules and any other applicable rules and regulatons of the SEC.</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Board shall have authority to (i) exercise all of the powers granted to it under the policy, (ii) construe, interpret, and implement this Policy, and (iii) make all determinatons necessary or advisable in administering this Policy.</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additon, the Board may amend this Policy, from tme to tme in its discreton, and shall amend this Policy, as it deems necessary, including to refect changes in applicable law, rule or regulaton. The Board may terminate this Policy at any tme. Any such amendment (or provision thereof) or terminaton shall not be efectve if such amendment or terminaton would (afer taking into account any actons taken by the Corporaton contemporaneously with such amendment or terminaton) cause the Corporaton to violate the Applicable Rules.</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the event of any confict or inconsistency between this Policy and any other policies, plans, or other materials of the Corporaton (including any agreement between the Corporaton and any Executve Ofcer subject to this Policy), this Policy will govern.</w:t>
      </w:r>
    </w:p>
    <w:p>
      <w:pPr>
        <w:spacing w:after="0" w:line="217"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color w:val="auto"/>
        </w:rPr>
        <w:t>This Policy will be deemed to be automatcally updated to incorporate any requirement of law, rule or regulaton applicable to the Corporaton, including those promulgated by the SEC and the Applicable Rules.</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Calibri" w:cs="Calibri" w:eastAsia="Calibri" w:hAnsi="Calibri"/>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5" w:right="439" w:bottom="1440" w:gutter="0" w:footer="0" w:header="0"/>
        </w:sectPr>
      </w:pPr>
    </w:p>
    <w:bookmarkStart w:id="134" w:name="page135"/>
    <w:bookmarkEnd w:id="134"/>
    <w:p>
      <w:pPr>
        <w:jc w:val="center"/>
        <w:ind w:right="-59"/>
        <w:spacing w:after="0"/>
        <w:rPr>
          <w:sz w:val="20"/>
          <w:szCs w:val="20"/>
          <w:color w:val="auto"/>
        </w:rPr>
      </w:pPr>
      <w:r>
        <w:rPr>
          <w:rFonts w:ascii="Calibri" w:cs="Calibri" w:eastAsia="Calibri" w:hAnsi="Calibri"/>
          <w:sz w:val="22"/>
          <w:szCs w:val="22"/>
          <w:b w:val="1"/>
          <w:bCs w:val="1"/>
          <w:color w:val="auto"/>
        </w:rPr>
        <w:t>Appendix A:</w:t>
      </w:r>
    </w:p>
    <w:p>
      <w:pPr>
        <w:spacing w:after="0" w:line="27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Alaunos Therapeutcs, Inc.</w:t>
      </w:r>
    </w:p>
    <w:p>
      <w:pPr>
        <w:jc w:val="center"/>
        <w:ind w:right="-119"/>
        <w:spacing w:after="0" w:line="234" w:lineRule="auto"/>
        <w:rPr>
          <w:sz w:val="20"/>
          <w:szCs w:val="20"/>
          <w:color w:val="auto"/>
        </w:rPr>
      </w:pPr>
      <w:r>
        <w:rPr>
          <w:rFonts w:ascii="Calibri" w:cs="Calibri" w:eastAsia="Calibri" w:hAnsi="Calibri"/>
          <w:sz w:val="20"/>
          <w:szCs w:val="20"/>
          <w:b w:val="1"/>
          <w:bCs w:val="1"/>
          <w:color w:val="auto"/>
        </w:rPr>
        <w:t>Compensaton Clawback Policy</w:t>
      </w:r>
    </w:p>
    <w:p>
      <w:pPr>
        <w:spacing w:after="0" w:line="242"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b w:val="1"/>
          <w:bCs w:val="1"/>
          <w:color w:val="auto"/>
        </w:rPr>
        <w:t>ACKNOWLEDGMENT</w:t>
      </w:r>
    </w:p>
    <w:p>
      <w:pPr>
        <w:spacing w:after="0" w:line="25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undersigned acknowledges and agrees that the undersigned (i) is, and will be, subject to the Compensaton Clawback Policy to which this acknowledgement is appended, as may be amended from tme to tme (the “Policy”) and (ii) will abide by the terms of the Policy, including by returning Excess Compensaton pursuant to whatever method the Board determines is advisable to achieve reasonably prompt recovery of such Excess Compensaton, as prescribed under the Policy.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Capitalized terms used but not defned have the meanings set forth in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657225</wp:posOffset>
            </wp:positionV>
            <wp:extent cx="35877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5">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685165</wp:posOffset>
            </wp:positionV>
            <wp:extent cx="28682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6">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Signature</w:t>
      </w:r>
    </w:p>
    <w:p>
      <w:pPr>
        <w:spacing w:after="0" w:line="3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0"/>
        <w:spacing w:after="0"/>
        <w:rPr>
          <w:sz w:val="20"/>
          <w:szCs w:val="20"/>
          <w:color w:val="auto"/>
        </w:rPr>
      </w:pPr>
      <w:r>
        <w:rPr>
          <w:rFonts w:ascii="Calibri" w:cs="Calibri" w:eastAsia="Calibri" w:hAnsi="Calibri"/>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0" w:right="4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2"/>
    </w:lvl>
  </w:abstractNum>
  <w:abstractNum w:abstractNumId="47">
    <w:nsid w:val="1A27709E"/>
    <w:multiLevelType w:val="hybridMultilevel"/>
    <w:lvl w:ilvl="0">
      <w:lvlJc w:val="left"/>
      <w:lvlText w:val="%1."/>
      <w:numFmt w:val="decimal"/>
      <w:start w:val="3"/>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decimal"/>
      <w:start w:val="5"/>
    </w:lvl>
  </w:abstractNum>
  <w:abstractNum w:abstractNumId="54">
    <w:nsid w:val="885E1B"/>
    <w:multiLevelType w:val="hybridMultilevel"/>
    <w:lvl w:ilvl="0">
      <w:lvlJc w:val="left"/>
      <w:lvlText w:val="%1."/>
      <w:numFmt w:val="decimal"/>
      <w:start w:val="6"/>
    </w:lvl>
  </w:abstractNum>
  <w:abstractNum w:abstractNumId="55">
    <w:nsid w:val="76272110"/>
    <w:multiLevelType w:val="hybridMultilevel"/>
    <w:lvl w:ilvl="0">
      <w:lvlJc w:val="left"/>
      <w:lvlText w:val="%1."/>
      <w:numFmt w:val="decimal"/>
      <w:start w:val="7"/>
    </w:lvl>
  </w:abstractNum>
  <w:abstractNum w:abstractNumId="56">
    <w:nsid w:val="4C04A8AF"/>
    <w:multiLevelType w:val="hybridMultilevel"/>
    <w:lvl w:ilvl="0">
      <w:lvlJc w:val="left"/>
      <w:lvlText w:val="%1."/>
      <w:numFmt w:val="decimal"/>
      <w:start w:val="8"/>
    </w:lvl>
  </w:abstractNum>
  <w:abstractNum w:abstractNumId="57">
    <w:nsid w:val="1716703B"/>
    <w:multiLevelType w:val="hybridMultilevel"/>
    <w:lvl w:ilvl="0">
      <w:lvlJc w:val="left"/>
      <w:lvlText w:val="%1."/>
      <w:numFmt w:val="decimal"/>
      <w:start w:val="9"/>
    </w:lvl>
  </w:abstractNum>
  <w:abstractNum w:abstractNumId="58">
    <w:nsid w:val="14E17E33"/>
    <w:multiLevelType w:val="hybridMultilevel"/>
    <w:lvl w:ilvl="0">
      <w:lvlJc w:val="left"/>
      <w:lvlText w:val="(%1)"/>
      <w:numFmt w:val="lowerRoman"/>
      <w:start w:val="2"/>
    </w:lvl>
  </w:abstractNum>
  <w:abstractNum w:abstractNumId="59">
    <w:nsid w:val="3222E7CD"/>
    <w:multiLevelType w:val="hybridMultilevel"/>
    <w:lvl w:ilvl="0">
      <w:lvlJc w:val="left"/>
      <w:lvlText w:val="%1."/>
      <w:numFmt w:val="decimal"/>
      <w:start w:val="10"/>
    </w:lvl>
  </w:abstractNum>
  <w:abstractNum w:abstractNumId="60">
    <w:nsid w:val="74DE0EE3"/>
    <w:multiLevelType w:val="hybridMultilevel"/>
    <w:lvl w:ilvl="0">
      <w:lvlJc w:val="left"/>
      <w:lvlText w:val="%1."/>
      <w:numFmt w:val="decimal"/>
      <w:start w:val="11"/>
    </w:lvl>
  </w:abstractNum>
  <w:abstractNum w:abstractNumId="61">
    <w:nsid w:val="68EBC550"/>
    <w:multiLevelType w:val="hybridMultilevel"/>
    <w:lvl w:ilvl="0">
      <w:lvlJc w:val="left"/>
      <w:lvlText w:val="%1."/>
      <w:numFmt w:val="decimal"/>
      <w:start w:val="12"/>
    </w:lvl>
  </w:abstractNum>
  <w:abstractNum w:abstractNumId="62">
    <w:nsid w:val="2DF6D648"/>
    <w:multiLevelType w:val="hybridMultilevel"/>
    <w:lvl w:ilvl="0">
      <w:lvlJc w:val="left"/>
      <w:lvlText w:val="%1."/>
      <w:numFmt w:val="decimal"/>
      <w:start w:val="13"/>
    </w:lvl>
  </w:abstractNum>
  <w:abstractNum w:abstractNumId="63">
    <w:nsid w:val="46B7D447"/>
    <w:multiLevelType w:val="hybridMultilevel"/>
    <w:lvl w:ilvl="0">
      <w:lvlJc w:val="left"/>
      <w:lvlText w:val="%1."/>
      <w:numFmt w:val="decimal"/>
      <w:start w:val="14"/>
    </w:lvl>
  </w:abstractNum>
  <w:abstractNum w:abstractNumId="64">
    <w:nsid w:val="4A2AC315"/>
    <w:multiLevelType w:val="hybridMultilevel"/>
    <w:lvl w:ilvl="0">
      <w:lvlJc w:val="left"/>
      <w:lvlText w:val="%1."/>
      <w:numFmt w:val="decimal"/>
      <w:start w:val="15"/>
    </w:lvl>
  </w:abstractNum>
  <w:abstractNum w:abstractNumId="65">
    <w:nsid w:val="39EE015C"/>
    <w:multiLevelType w:val="hybridMultilevel"/>
    <w:lvl w:ilvl="0">
      <w:lvlJc w:val="left"/>
      <w:lvlText w:val="%1."/>
      <w:numFmt w:val="decimal"/>
      <w:start w:val="16"/>
    </w:lvl>
  </w:abstractNum>
  <w:abstractNum w:abstractNumId="66">
    <w:nsid w:val="57FC4FBB"/>
    <w:multiLevelType w:val="hybridMultilevel"/>
    <w:lvl w:ilvl="0">
      <w:lvlJc w:val="left"/>
      <w:lvlText w:val="%1."/>
      <w:numFmt w:val="decimal"/>
      <w:start w:val="1"/>
    </w:lvl>
    <w:lvl w:ilvl="1">
      <w:lvlJc w:val="left"/>
      <w:lvlText w:val="(%2)"/>
      <w:numFmt w:val="lowerLetter"/>
      <w:start w:val="1"/>
    </w:lvl>
  </w:abstractNum>
  <w:abstractNum w:abstractNumId="67">
    <w:nsid w:val="CC1016F"/>
    <w:multiLevelType w:val="hybridMultilevel"/>
    <w:lvl w:ilvl="0">
      <w:lvlJc w:val="left"/>
      <w:lvlText w:val="(%1)"/>
      <w:numFmt w:val="lowerLetter"/>
      <w:start w:val="4"/>
    </w:lvl>
  </w:abstractNum>
  <w:abstractNum w:abstractNumId="68">
    <w:nsid w:val="43F18422"/>
    <w:multiLevelType w:val="hybridMultilevel"/>
    <w:lvl w:ilvl="0">
      <w:lvlJc w:val="left"/>
      <w:lvlText w:val="%1."/>
      <w:numFmt w:val="decimal"/>
      <w:start w:val="4"/>
    </w:lvl>
  </w:abstractNum>
  <w:abstractNum w:abstractNumId="69">
    <w:nsid w:val="60EF0119"/>
    <w:multiLevelType w:val="hybridMultilevel"/>
    <w:lvl w:ilvl="0">
      <w:lvlJc w:val="left"/>
      <w:lvlText w:val="%1."/>
      <w:numFmt w:val="decimal"/>
      <w:start w:val="7"/>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3"/>
    </w:lvl>
  </w:abstractNum>
  <w:abstractNum w:abstractNumId="72">
    <w:nsid w:val="49DA307D"/>
    <w:multiLevelType w:val="hybridMultilevel"/>
    <w:lvl w:ilvl="0">
      <w:lvlJc w:val="left"/>
      <w:lvlText w:val="%1."/>
      <w:numFmt w:val="decimal"/>
      <w:start w:val="9"/>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6"/>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decimal"/>
      <w:start w:val="1"/>
    </w:lvl>
    <w:lvl w:ilvl="1">
      <w:lvlJc w:val="left"/>
      <w:lvlText w:val="(%2)"/>
      <w:numFmt w:val="lowerLetter"/>
      <w:start w:val="1"/>
    </w:lvl>
  </w:abstractNum>
  <w:abstractNum w:abstractNumId="77">
    <w:nsid w:val="5FB8011C"/>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78">
    <w:nsid w:val="6AA78F7F"/>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79">
    <w:nsid w:val="7672BD23"/>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80">
    <w:nsid w:val="6FC75AF8"/>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81">
    <w:nsid w:val="6A5F702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2">
    <w:nsid w:val="7D5E18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83">
    <w:nsid w:val="5F3534A4"/>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84">
    <w:nsid w:val="73A1821B"/>
    <w:multiLevelType w:val="hybridMultilevel"/>
    <w:lvl w:ilvl="0">
      <w:lvlJc w:val="left"/>
      <w:lvlText w:val="-"/>
      <w:numFmt w:val="bullet"/>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5">
    <w:nsid w:val="7DE67713"/>
    <w:multiLevelType w:val="hybridMultilevel"/>
    <w:lvl w:ilvl="0">
      <w:lvlJc w:val="left"/>
      <w:lvlText w:val="(%1)"/>
      <w:numFmt w:val="lowerLetter"/>
      <w:start w:val="2"/>
    </w:lvl>
  </w:abstractNum>
  <w:abstractNum w:abstractNumId="86">
    <w:nsid w:val="555C55B5"/>
    <w:multiLevelType w:val="hybridMultilevel"/>
    <w:lvl w:ilvl="0">
      <w:lvlJc w:val="left"/>
      <w:lvlText w:val="-"/>
      <w:numFmt w:val="bullet"/>
      <w:start w:val="1"/>
    </w:lvl>
    <w:lvl w:ilvl="1">
      <w:lvlJc w:val="left"/>
      <w:lvlText w:val="(%2)"/>
      <w:numFmt w:val="lowerLetter"/>
      <w:start w:val="1"/>
    </w:lvl>
  </w:abstractNum>
  <w:abstractNum w:abstractNumId="87">
    <w:nsid w:val="3FA62ACA"/>
    <w:multiLevelType w:val="hybridMultilevel"/>
    <w:lvl w:ilvl="0">
      <w:lvlJc w:val="left"/>
      <w:lvlText w:val="-"/>
      <w:numFmt w:val="bullet"/>
      <w:start w:val="1"/>
    </w:lvl>
    <w:lvl w:ilvl="1">
      <w:lvlJc w:val="left"/>
      <w:lvlText w:val="(%2)"/>
      <w:numFmt w:val="lowerLetter"/>
      <w:start w:val="1"/>
    </w:lvl>
  </w:abstractNum>
  <w:abstractNum w:abstractNumId="88">
    <w:nsid w:val="14FCE74E"/>
    <w:multiLevelType w:val="hybridMultilevel"/>
    <w:lvl w:ilvl="0">
      <w:lvlJc w:val="left"/>
      <w:lvlText w:val="(%1)"/>
      <w:numFmt w:val="lowerLetter"/>
      <w:start w:val="8"/>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decimal"/>
      <w:start w:val="1"/>
    </w:lvl>
    <w:lvl w:ilvl="1">
      <w:lvlJc w:val="left"/>
      <w:lvlText w:val="(%2)"/>
      <w:numFmt w:val="lowerLetter"/>
      <w:start w:val="1"/>
    </w:lvl>
  </w:abstractNum>
  <w:abstractNum w:abstractNumId="91">
    <w:nsid w:val="9DAF632"/>
    <w:multiLevelType w:val="hybridMultilevel"/>
    <w:lvl w:ilvl="0">
      <w:lvlJc w:val="left"/>
      <w:lvlText w:val="%1"/>
      <w:numFmt w:val="decimal"/>
      <w:start w:val="1"/>
    </w:lvl>
    <w:lvl w:ilvl="1">
      <w:lvlJc w:val="left"/>
      <w:lvlText w:val="(%2)"/>
      <w:numFmt w:val="lowerLetter"/>
      <w:start w:val="3"/>
    </w:lvl>
  </w:abstractNum>
  <w:abstractNum w:abstractNumId="92">
    <w:nsid w:val="53299938"/>
    <w:multiLevelType w:val="hybridMultilevel"/>
    <w:lvl w:ilvl="0">
      <w:lvlJc w:val="left"/>
      <w:lvlText w:val="%1."/>
      <w:numFmt w:val="decimal"/>
      <w:start w:val="5"/>
    </w:lvl>
    <w:lvl w:ilvl="1">
      <w:lvlJc w:val="left"/>
      <w:lvlText w:val="%2"/>
      <w:numFmt w:val="lowerLetter"/>
      <w:start w:val="1"/>
    </w:lvl>
  </w:abstractNum>
  <w:abstractNum w:abstractNumId="93">
    <w:nsid w:val="1FBFE8E0"/>
    <w:multiLevelType w:val="hybridMultilevel"/>
    <w:lvl w:ilvl="0">
      <w:lvlJc w:val="left"/>
      <w:lvlText w:val="%1."/>
      <w:numFmt w:val="decimal"/>
      <w:start w:val="8"/>
    </w:lvl>
  </w:abstractNum>
  <w:abstractNum w:abstractNumId="94">
    <w:nsid w:val="5092CA79"/>
    <w:multiLevelType w:val="hybridMultilevel"/>
    <w:lvl w:ilvl="0">
      <w:lvlJc w:val="left"/>
      <w:lvlText w:val="%1."/>
      <w:numFmt w:val="decimal"/>
      <w:start w:val="9"/>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3"/>
    </w:lvl>
  </w:abstractNum>
  <w:abstractNum w:abstractNumId="97">
    <w:nsid w:val="288F1A34"/>
    <w:multiLevelType w:val="hybridMultilevel"/>
    <w:lvl w:ilvl="0">
      <w:lvlJc w:val="left"/>
      <w:lvlText w:val="%1."/>
      <w:numFmt w:val="decimal"/>
      <w:start w:val="10"/>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lowerLetter"/>
      <w:start w:val="4"/>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1."/>
      <w:numFmt w:val="decimal"/>
      <w:start w:val="1"/>
    </w:lvl>
    <w:lvl w:ilvl="1">
      <w:lvlJc w:val="left"/>
      <w:lvlText w:val="(%2)"/>
      <w:numFmt w:val="lowerLetter"/>
      <w:start w:val="1"/>
    </w:lvl>
  </w:abstractNum>
  <w:abstractNum w:abstractNumId="103">
    <w:nsid w:val="53584BCB"/>
    <w:multiLevelType w:val="hybridMultilevel"/>
    <w:lvl w:ilvl="0">
      <w:lvlJc w:val="left"/>
      <w:lvlText w:val="(%1)"/>
      <w:numFmt w:val="lowerLetter"/>
      <w:start w:val="4"/>
    </w:lvl>
  </w:abstractNum>
  <w:abstractNum w:abstractNumId="104">
    <w:nsid w:val="415E286C"/>
    <w:multiLevelType w:val="hybridMultilevel"/>
    <w:lvl w:ilvl="0">
      <w:lvlJc w:val="left"/>
      <w:lvlText w:val="%1."/>
      <w:numFmt w:val="decimal"/>
      <w:start w:val="4"/>
    </w:lvl>
    <w:lvl w:ilvl="1">
      <w:lvlJc w:val="left"/>
      <w:lvlText w:val="(%2)"/>
      <w:numFmt w:val="lowerLetter"/>
      <w:start w:val="1"/>
    </w:lvl>
  </w:abstractNum>
  <w:abstractNum w:abstractNumId="105">
    <w:nsid w:val="7C58FD05"/>
    <w:multiLevelType w:val="hybridMultilevel"/>
    <w:lvl w:ilvl="0">
      <w:lvlJc w:val="left"/>
      <w:lvlText w:val="%1"/>
      <w:numFmt w:val="decimal"/>
      <w:start w:val="1"/>
    </w:lvl>
    <w:lvl w:ilvl="1">
      <w:lvlJc w:val="left"/>
      <w:lvlText w:val="(%2)"/>
      <w:numFmt w:val="lowerLetter"/>
      <w:start w:val="1"/>
    </w:lvl>
  </w:abstractNum>
  <w:abstractNum w:abstractNumId="106">
    <w:nsid w:val="23D86AAC"/>
    <w:multiLevelType w:val="hybridMultilevel"/>
    <w:lvl w:ilvl="0">
      <w:lvlJc w:val="left"/>
      <w:lvlText w:val="%1."/>
      <w:numFmt w:val="decimal"/>
      <w:start w:val="7"/>
    </w:lvl>
    <w:lvl w:ilvl="1">
      <w:lvlJc w:val="left"/>
      <w:lvlText w:val="%2"/>
      <w:numFmt w:val="lowerLetter"/>
      <w:start w:val="1"/>
    </w:lvl>
  </w:abstractNum>
  <w:abstractNum w:abstractNumId="107">
    <w:nsid w:val="45E6D486"/>
    <w:multiLevelType w:val="hybridMultilevel"/>
    <w:lvl w:ilvl="0">
      <w:lvlJc w:val="left"/>
      <w:lvlText w:val="%1."/>
      <w:numFmt w:val="decimal"/>
      <w:start w:val="8"/>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3"/>
    </w:lvl>
  </w:abstractNum>
  <w:abstractNum w:abstractNumId="110">
    <w:nsid w:val="3C5991AA"/>
    <w:multiLevelType w:val="hybridMultilevel"/>
    <w:lvl w:ilvl="0">
      <w:lvlJc w:val="left"/>
      <w:lvlText w:val="%1."/>
      <w:numFmt w:val="decimal"/>
      <w:start w:val="9"/>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lowerLetter"/>
      <w:start w:val="4"/>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png"/><Relationship Id="rId236" Type="http://schemas.openxmlformats.org/officeDocument/2006/relationships/image" Target="media/image171.png"/><Relationship Id="rId237" Type="http://schemas.openxmlformats.org/officeDocument/2006/relationships/image" Target="media/image172.png"/><Relationship Id="rId238" Type="http://schemas.openxmlformats.org/officeDocument/2006/relationships/image" Target="media/image173.png"/><Relationship Id="rId239" Type="http://schemas.openxmlformats.org/officeDocument/2006/relationships/image" Target="media/image174.png"/><Relationship Id="rId240" Type="http://schemas.openxmlformats.org/officeDocument/2006/relationships/image" Target="media/image175.png"/><Relationship Id="rId241" Type="http://schemas.openxmlformats.org/officeDocument/2006/relationships/image" Target="media/image176.png"/><Relationship Id="rId242" Type="http://schemas.openxmlformats.org/officeDocument/2006/relationships/image" Target="media/image177.png"/><Relationship Id="rId243" Type="http://schemas.openxmlformats.org/officeDocument/2006/relationships/image" Target="media/image178.png"/><Relationship Id="rId244" Type="http://schemas.openxmlformats.org/officeDocument/2006/relationships/image" Target="media/image179.png"/><Relationship Id="rId245" Type="http://schemas.openxmlformats.org/officeDocument/2006/relationships/image" Target="media/image180.png"/><Relationship Id="rId246" Type="http://schemas.openxmlformats.org/officeDocument/2006/relationships/image" Target="media/image181.png"/><Relationship Id="rId247" Type="http://schemas.openxmlformats.org/officeDocument/2006/relationships/image" Target="media/image182.png"/><Relationship Id="rId248" Type="http://schemas.openxmlformats.org/officeDocument/2006/relationships/image" Target="media/image183.png"/><Relationship Id="rId249" Type="http://schemas.openxmlformats.org/officeDocument/2006/relationships/image" Target="media/image184.png"/><Relationship Id="rId250" Type="http://schemas.openxmlformats.org/officeDocument/2006/relationships/image" Target="media/image185.png"/><Relationship Id="rId251" Type="http://schemas.openxmlformats.org/officeDocument/2006/relationships/image" Target="media/image186.png"/><Relationship Id="rId252" Type="http://schemas.openxmlformats.org/officeDocument/2006/relationships/image" Target="media/image187.png"/><Relationship Id="rId253" Type="http://schemas.openxmlformats.org/officeDocument/2006/relationships/image" Target="media/image188.png"/><Relationship Id="rId254" Type="http://schemas.openxmlformats.org/officeDocument/2006/relationships/image" Target="media/image189.png"/><Relationship Id="rId255" Type="http://schemas.openxmlformats.org/officeDocument/2006/relationships/image" Target="media/image190.png"/><Relationship Id="rId256" Type="http://schemas.openxmlformats.org/officeDocument/2006/relationships/image" Target="media/image191.png"/><Relationship Id="rId257" Type="http://schemas.openxmlformats.org/officeDocument/2006/relationships/image" Target="media/image192.png"/><Relationship Id="rId258" Type="http://schemas.openxmlformats.org/officeDocument/2006/relationships/image" Target="media/image193.png"/><Relationship Id="rId259" Type="http://schemas.openxmlformats.org/officeDocument/2006/relationships/image" Target="media/image194.png"/><Relationship Id="rId260" Type="http://schemas.openxmlformats.org/officeDocument/2006/relationships/image" Target="media/image195.png"/><Relationship Id="rId261"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4" Type="http://schemas.openxmlformats.org/officeDocument/2006/relationships/image" Target="media/image199.png"/><Relationship Id="rId265" Type="http://schemas.openxmlformats.org/officeDocument/2006/relationships/image" Target="media/image200.png"/><Relationship Id="rId266" Type="http://schemas.openxmlformats.org/officeDocument/2006/relationships/image" Target="media/image201.png"/><Relationship Id="rId267" Type="http://schemas.openxmlformats.org/officeDocument/2006/relationships/image" Target="media/image202.png"/><Relationship Id="rId268"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pn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300" Type="http://schemas.openxmlformats.org/officeDocument/2006/relationships/image" Target="media/image235.png"/><Relationship Id="rId301" Type="http://schemas.openxmlformats.org/officeDocument/2006/relationships/image" Target="media/image236.png"/><Relationship Id="rId302"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305" Type="http://schemas.openxmlformats.org/officeDocument/2006/relationships/image" Target="media/image240.png"/><Relationship Id="rId306" Type="http://schemas.openxmlformats.org/officeDocument/2006/relationships/image" Target="media/image241.png"/><Relationship Id="rId307" Type="http://schemas.openxmlformats.org/officeDocument/2006/relationships/image" Target="media/image242.png"/><Relationship Id="rId308" Type="http://schemas.openxmlformats.org/officeDocument/2006/relationships/image" Target="media/image243.png"/><Relationship Id="rId309" Type="http://schemas.openxmlformats.org/officeDocument/2006/relationships/image" Target="media/image244.png"/><Relationship Id="rId310" Type="http://schemas.openxmlformats.org/officeDocument/2006/relationships/image" Target="media/image245.png"/><Relationship Id="rId311" Type="http://schemas.openxmlformats.org/officeDocument/2006/relationships/image" Target="media/image246.png"/><Relationship Id="rId312" Type="http://schemas.openxmlformats.org/officeDocument/2006/relationships/image" Target="media/image247.png"/><Relationship Id="rId313" Type="http://schemas.openxmlformats.org/officeDocument/2006/relationships/image" Target="media/image248.png"/><Relationship Id="rId314" Type="http://schemas.openxmlformats.org/officeDocument/2006/relationships/image" Target="media/image249.png"/><Relationship Id="rId315" Type="http://schemas.openxmlformats.org/officeDocument/2006/relationships/image" Target="media/image250.png"/><Relationship Id="rId316" Type="http://schemas.openxmlformats.org/officeDocument/2006/relationships/image" Target="media/image251.png"/><Relationship Id="rId317" Type="http://schemas.openxmlformats.org/officeDocument/2006/relationships/image" Target="media/image252.png"/><Relationship Id="rId318" Type="http://schemas.openxmlformats.org/officeDocument/2006/relationships/image" Target="media/image253.png"/><Relationship Id="rId319" Type="http://schemas.openxmlformats.org/officeDocument/2006/relationships/image" Target="media/image254.png"/><Relationship Id="rId320" Type="http://schemas.openxmlformats.org/officeDocument/2006/relationships/image" Target="media/image255.png"/><Relationship Id="rId321" Type="http://schemas.openxmlformats.org/officeDocument/2006/relationships/image" Target="media/image256.png"/><Relationship Id="rId322" Type="http://schemas.openxmlformats.org/officeDocument/2006/relationships/image" Target="media/image257.png"/><Relationship Id="rId323" Type="http://schemas.openxmlformats.org/officeDocument/2006/relationships/image" Target="media/image258.png"/><Relationship Id="rId324" Type="http://schemas.openxmlformats.org/officeDocument/2006/relationships/image" Target="media/image259.png"/><Relationship Id="rId325" Type="http://schemas.openxmlformats.org/officeDocument/2006/relationships/image" Target="media/image260.png"/><Relationship Id="rId326" Type="http://schemas.openxmlformats.org/officeDocument/2006/relationships/image" Target="media/image261.png"/><Relationship Id="rId327" Type="http://schemas.openxmlformats.org/officeDocument/2006/relationships/image" Target="media/image262.png"/><Relationship Id="rId328" Type="http://schemas.openxmlformats.org/officeDocument/2006/relationships/image" Target="media/image263.png"/><Relationship Id="rId329" Type="http://schemas.openxmlformats.org/officeDocument/2006/relationships/image" Target="media/image264.png"/><Relationship Id="rId330" Type="http://schemas.openxmlformats.org/officeDocument/2006/relationships/image" Target="media/image265.png"/><Relationship Id="rId331" Type="http://schemas.openxmlformats.org/officeDocument/2006/relationships/image" Target="media/image266.png"/><Relationship Id="rId332" Type="http://schemas.openxmlformats.org/officeDocument/2006/relationships/image" Target="media/image267.png"/><Relationship Id="rId333" Type="http://schemas.openxmlformats.org/officeDocument/2006/relationships/image" Target="media/image268.png"/><Relationship Id="rId334" Type="http://schemas.openxmlformats.org/officeDocument/2006/relationships/image" Target="media/image269.png"/><Relationship Id="rId335" Type="http://schemas.openxmlformats.org/officeDocument/2006/relationships/image" Target="media/image270.png"/><Relationship Id="rId336" Type="http://schemas.openxmlformats.org/officeDocument/2006/relationships/image" Target="media/image271.png"/><Relationship Id="rId337" Type="http://schemas.openxmlformats.org/officeDocument/2006/relationships/image" Target="media/image272.png"/><Relationship Id="rId338" Type="http://schemas.openxmlformats.org/officeDocument/2006/relationships/image" Target="media/image273.png"/><Relationship Id="rId339" Type="http://schemas.openxmlformats.org/officeDocument/2006/relationships/image" Target="media/image274.png"/><Relationship Id="rId340" Type="http://schemas.openxmlformats.org/officeDocument/2006/relationships/image" Target="media/image275.png"/><Relationship Id="rId341" Type="http://schemas.openxmlformats.org/officeDocument/2006/relationships/image" Target="media/image276.png"/><Relationship Id="rId342" Type="http://schemas.openxmlformats.org/officeDocument/2006/relationships/image" Target="media/image277.png"/><Relationship Id="rId343" Type="http://schemas.openxmlformats.org/officeDocument/2006/relationships/image" Target="media/image278.png"/><Relationship Id="rId344" Type="http://schemas.openxmlformats.org/officeDocument/2006/relationships/image" Target="media/image279.png"/><Relationship Id="rId345" Type="http://schemas.openxmlformats.org/officeDocument/2006/relationships/image" Target="media/image280.png"/><Relationship Id="rId346" Type="http://schemas.openxmlformats.org/officeDocument/2006/relationships/image" Target="media/image281.png"/><Relationship Id="rId347" Type="http://schemas.openxmlformats.org/officeDocument/2006/relationships/image" Target="media/image282.png"/><Relationship Id="rId348" Type="http://schemas.openxmlformats.org/officeDocument/2006/relationships/image" Target="media/image283.png"/><Relationship Id="rId349" Type="http://schemas.openxmlformats.org/officeDocument/2006/relationships/image" Target="media/image284.png"/><Relationship Id="rId350" Type="http://schemas.openxmlformats.org/officeDocument/2006/relationships/image" Target="media/image285.png"/><Relationship Id="rId351" Type="http://schemas.openxmlformats.org/officeDocument/2006/relationships/image" Target="media/image286.png"/><Relationship Id="rId352" Type="http://schemas.openxmlformats.org/officeDocument/2006/relationships/image" Target="media/image287.png"/><Relationship Id="rId353" Type="http://schemas.openxmlformats.org/officeDocument/2006/relationships/image" Target="media/image288.png"/><Relationship Id="rId354" Type="http://schemas.openxmlformats.org/officeDocument/2006/relationships/image" Target="media/image289.png"/><Relationship Id="rId355" Type="http://schemas.openxmlformats.org/officeDocument/2006/relationships/image" Target="media/image290.png"/><Relationship Id="rId356" Type="http://schemas.openxmlformats.org/officeDocument/2006/relationships/image" Target="media/image291.png"/><Relationship Id="rId357" Type="http://schemas.openxmlformats.org/officeDocument/2006/relationships/image" Target="media/image292.png"/><Relationship Id="rId97" Type="http://schemas.openxmlformats.org/officeDocument/2006/relationships/hyperlink" Target="https://www.sec.gov/Archives/edgar/data/1107421/000112178105000194/exhibit10one.htm" TargetMode="External"/><Relationship Id="rId98" Type="http://schemas.openxmlformats.org/officeDocument/2006/relationships/hyperlink" Target="https://www.sec.gov/Archives/edgar/data/1107421/000095017023042486/tcrt-ex3_1.htm" TargetMode="External"/><Relationship Id="rId99" Type="http://schemas.openxmlformats.org/officeDocument/2006/relationships/hyperlink" Target="https://www.sec.gov/Archives/edgar/data/1107421/000114420405029250/v025882_ex3-1.htm" TargetMode="External"/><Relationship Id="rId100" Type="http://schemas.openxmlformats.org/officeDocument/2006/relationships/hyperlink" Target="https://www.sec.gov/Archives/edgar/data/1107421/000114420405029250/ex3-2.htm" TargetMode="External"/><Relationship Id="rId101" Type="http://schemas.openxmlformats.org/officeDocument/2006/relationships/hyperlink" Target="https://www.sec.gov/Archives/edgar/data/1107421/000119312516640603/d220092dex31.htm" TargetMode="External"/><Relationship Id="rId102" Type="http://schemas.openxmlformats.org/officeDocument/2006/relationships/hyperlink" Target="https://www.sec.gov/Archives/edgar/data/1107421/000119312520250711/d42031dex31.htm" TargetMode="External"/><Relationship Id="rId103" Type="http://schemas.openxmlformats.org/officeDocument/2006/relationships/hyperlink" Target="https://www.sec.gov/Archives/edgar/data/1107421/000114420405031725/v026661_ex4-1.htm" TargetMode="External"/><Relationship Id="rId104" Type="http://schemas.openxmlformats.org/officeDocument/2006/relationships/hyperlink" Target="https://www.sec.gov/Archives/edgar/data/1107421/000114420406010771/v038061_ex4-6.htm" TargetMode="External"/><Relationship Id="rId105" Type="http://schemas.openxmlformats.org/officeDocument/2006/relationships/hyperlink" Target="https://www.sec.gov/Archives/edgar/data/1107421/000114420406010771/v038061_ex4-7.htm" TargetMode="External"/><Relationship Id="rId106" Type="http://schemas.openxmlformats.org/officeDocument/2006/relationships/hyperlink" Target="https://www.sec.gov/Archives/edgar/data/1107421/000119312518324941/d601714dex41.htm" TargetMode="External"/><Relationship Id="rId107" Type="http://schemas.openxmlformats.org/officeDocument/2006/relationships/hyperlink" Target="https://www.sec.gov/Archives/edgar/data/1107421/000119312520058863/d861766dex47.htm" TargetMode="External"/><Relationship Id="rId108" Type="http://schemas.openxmlformats.org/officeDocument/2006/relationships/hyperlink" Target="https://www.sec.gov/Archives/edgar/data/1107421/000095017022004972/tcrt-ex4_6.htm" TargetMode="External"/><Relationship Id="rId109" Type="http://schemas.openxmlformats.org/officeDocument/2006/relationships/hyperlink" Target="https://www.sec.gov/Archives/edgar/data/1107421/000095017022004972/tcrt-ex4_7.htm" TargetMode="External"/><Relationship Id="rId110" Type="http://schemas.openxmlformats.org/officeDocument/2006/relationships/hyperlink" Target="https://www.sec.gov/Archives/edgar/data/1107421/000119312518281213/d627352dex101.htm" TargetMode="External"/><Relationship Id="rId113" Type="http://schemas.openxmlformats.org/officeDocument/2006/relationships/hyperlink" Target="https://www.sec.gov/Archives/edgar/data/1107421/000114420412036511/v316803_ex10-2.htm" TargetMode="External"/><Relationship Id="rId114" Type="http://schemas.openxmlformats.org/officeDocument/2006/relationships/hyperlink" Target="https://www.sec.gov/Archives/edgar/data/1107421/000114420412036511/v316803_ex10-3.htm" TargetMode="External"/><Relationship Id="rId115" Type="http://schemas.openxmlformats.org/officeDocument/2006/relationships/hyperlink" Target="https://www.sec.gov/Archives/edgar/data/1107421/000119312520136509/d926789dex993.htm" TargetMode="External"/><Relationship Id="rId116" Type="http://schemas.openxmlformats.org/officeDocument/2006/relationships/hyperlink" Target="https://www.sec.gov/Archives/edgar/data/1107421/000119312520184639/d862521dex101.htm" TargetMode="External"/><Relationship Id="rId117" Type="http://schemas.openxmlformats.org/officeDocument/2006/relationships/hyperlink" Target="https://www.sec.gov/Archives/edgar/data/1107421/000119312521063387/d20446dex109.htm" TargetMode="External"/><Relationship Id="rId118" Type="http://schemas.openxmlformats.org/officeDocument/2006/relationships/hyperlink" Target="https://www.sec.gov/Archives/edgar/data/1107421/000119312521063387/d20446dex1010.htm" TargetMode="External"/><Relationship Id="rId119" Type="http://schemas.openxmlformats.org/officeDocument/2006/relationships/hyperlink" Target="https://www.sec.gov/Archives/edgar/data/1107421/000114420413005124/v333304_ex99-1.htm" TargetMode="External"/><Relationship Id="rId120" Type="http://schemas.openxmlformats.org/officeDocument/2006/relationships/hyperlink" Target="https://www.sec.gov/Archives/edgar/data/1107421/000119312521260859/d11000dex101.htm" TargetMode="External"/><Relationship Id="rId121" Type="http://schemas.openxmlformats.org/officeDocument/2006/relationships/hyperlink" Target="https://www.sec.gov/Archives/edgar/data/1107421/000119312521063387/d20446dex1020.htm" TargetMode="External"/><Relationship Id="rId122" Type="http://schemas.openxmlformats.org/officeDocument/2006/relationships/hyperlink" Target="https://www.sec.gov/Archives/edgar/data/1107421/000119312515023826/d862579dex105.htm" TargetMode="External"/><Relationship Id="rId123" Type="http://schemas.openxmlformats.org/officeDocument/2006/relationships/hyperlink" Target="https://www.sec.gov/Archives/edgar/data/1107421/000119312518323155/d623821dex101.htm" TargetMode="External"/><Relationship Id="rId124" Type="http://schemas.openxmlformats.org/officeDocument/2006/relationships/hyperlink" Target="https://www.sec.gov/Archives/edgar/data/1107421/000119312520286807/d82436dex102.htm" TargetMode="External"/><Relationship Id="rId125" Type="http://schemas.openxmlformats.org/officeDocument/2006/relationships/hyperlink" Target="https://www.sec.gov/Archives/edgar/data/1107421/000095017023020088/tcrt-ex10_1.htm" TargetMode="External"/><Relationship Id="rId126" Type="http://schemas.openxmlformats.org/officeDocument/2006/relationships/hyperlink" Target="https://www.sec.gov/Archives/edgar/data/1107421/000119312515117648/d902541dex101.htm" TargetMode="External"/><Relationship Id="rId127" Type="http://schemas.openxmlformats.org/officeDocument/2006/relationships/hyperlink" Target="https://www.sec.gov/Archives/edgar/data/1107421/000119312515298126/d40873dex101.htm" TargetMode="External"/><Relationship Id="rId128" Type="http://schemas.openxmlformats.org/officeDocument/2006/relationships/hyperlink" Target="https://www.sec.gov/Archives/edgar/data/1107421/000119312519063978/d678734dex1021.htm" TargetMode="External"/><Relationship Id="rId129" Type="http://schemas.openxmlformats.org/officeDocument/2006/relationships/hyperlink" Target="https://www.sec.gov/Archives/edgar/data/1107421/000119312519063978/d678734dex1022.htm" TargetMode="External"/><Relationship Id="rId130" Type="http://schemas.openxmlformats.org/officeDocument/2006/relationships/hyperlink" Target="https://www.sec.gov/Archives/edgar/data/1107421/000119312519063978/d678734dex1023.htm" TargetMode="External"/><Relationship Id="rId131" Type="http://schemas.openxmlformats.org/officeDocument/2006/relationships/hyperlink" Target="https://www.sec.gov/Archives/edgar/data/1107421/000119312519287259/d786918dex107.htm" TargetMode="External"/><Relationship Id="rId132" Type="http://schemas.openxmlformats.org/officeDocument/2006/relationships/hyperlink" Target="https://www.sec.gov/Archives/edgar/data/1107421/000119312520058863/d861766dex1020.htm" TargetMode="External"/><Relationship Id="rId133" Type="http://schemas.openxmlformats.org/officeDocument/2006/relationships/hyperlink" Target="https://www.sec.gov/Archives/edgar/data/1107421/000119312520058863/d861766dex1021.htm" TargetMode="External"/><Relationship Id="rId134" Type="http://schemas.openxmlformats.org/officeDocument/2006/relationships/hyperlink" Target="https://www.sec.gov/Archives/edgar/data/1107421/000119312519216056/d777738dex103.htm" TargetMode="External"/><Relationship Id="rId137" Type="http://schemas.openxmlformats.org/officeDocument/2006/relationships/hyperlink" Target="https://www.sec.gov/Archives/edgar/data/1107421/000119312520058863/d861766dex1023.htm" TargetMode="External"/><Relationship Id="rId138" Type="http://schemas.openxmlformats.org/officeDocument/2006/relationships/hyperlink" Target="https://www.sec.gov/Archives/edgar/data/1107421/000119312520286807/d82436dex101.htm" TargetMode="External"/><Relationship Id="rId139" Type="http://schemas.openxmlformats.org/officeDocument/2006/relationships/hyperlink" Target="https://www.sec.gov/Archives/edgar/data/1107421/000095017022004972/tcrt-ex10_38.htm" TargetMode="External"/><Relationship Id="rId140" Type="http://schemas.openxmlformats.org/officeDocument/2006/relationships/hyperlink" Target="https://www.sec.gov/Archives/edgar/data/1107421/000095017022004972/tcrt-ex10_39.htm" TargetMode="External"/><Relationship Id="rId141" Type="http://schemas.openxmlformats.org/officeDocument/2006/relationships/hyperlink" Target="https://www.sec.gov/Archives/edgar/data/1107421/000095017022004972/tcrt-ex10_40.htm" TargetMode="External"/><Relationship Id="rId142" Type="http://schemas.openxmlformats.org/officeDocument/2006/relationships/hyperlink" Target="https://www.sec.gov/Archives/edgar/data/1107421/000119312519255309/d608895dex101.htm" TargetMode="External"/><Relationship Id="rId143" Type="http://schemas.openxmlformats.org/officeDocument/2006/relationships/hyperlink" Target="https://www.sec.gov/Archives/edgar/data/1107421/000119312519255309/d608895dex102.htm" TargetMode="External"/><Relationship Id="rId144" Type="http://schemas.openxmlformats.org/officeDocument/2006/relationships/hyperlink" Target="https://www.sec.gov/Archives/edgar/data/1107421/000119312519255309/d608895dex103.htm" TargetMode="External"/><Relationship Id="rId145" Type="http://schemas.openxmlformats.org/officeDocument/2006/relationships/hyperlink" Target="https://www.sec.gov/Archives/edgar/data/1107421/000095017022004972/tcrt-ex10_44.htm" TargetMode="External"/><Relationship Id="rId146" Type="http://schemas.openxmlformats.org/officeDocument/2006/relationships/hyperlink" Target="https://www.sec.gov/Archives/edgar/data/1107421/000095017022017225/tcrt-ex10_1.htm" TargetMode="External"/><Relationship Id="rId147" Type="http://schemas.openxmlformats.org/officeDocument/2006/relationships/hyperlink" Target="https://www.sec.gov/Archives/edgar/data/1107421/000119312521063387/d20446dex1039.htm" TargetMode="External"/><Relationship Id="rId148" Type="http://schemas.openxmlformats.org/officeDocument/2006/relationships/hyperlink" Target="https://www.sec.gov/Archives/edgar/data/1107421/000119312521063387/d20446dex1040.htm" TargetMode="External"/><Relationship Id="rId149" Type="http://schemas.openxmlformats.org/officeDocument/2006/relationships/hyperlink" Target="https://www.sec.gov/Archives/edgar/data/1107421/000119312521063387/d20446dex1041.htm" TargetMode="External"/><Relationship Id="rId150" Type="http://schemas.openxmlformats.org/officeDocument/2006/relationships/hyperlink" Target="https://www.sec.gov/Archives/edgar/data/1107421/000119312521063387/d20446dex1042.htm" TargetMode="External"/><Relationship Id="rId151" Type="http://schemas.openxmlformats.org/officeDocument/2006/relationships/hyperlink" Target="https://www.sec.gov/Archives/edgar/data/1107421/000119312521063387/d20446dex1043.htm" TargetMode="External"/><Relationship Id="rId152" Type="http://schemas.openxmlformats.org/officeDocument/2006/relationships/hyperlink" Target="https://www.sec.gov/Archives/edgar/data/1107421/000119312521030026/d122203dex101.htm" TargetMode="External"/><Relationship Id="rId153" Type="http://schemas.openxmlformats.org/officeDocument/2006/relationships/hyperlink" Target="https://www.sec.gov/Archives/edgar/data/1107421/000095017021003463/ziop-ex10_1.htm" TargetMode="External"/><Relationship Id="rId154" Type="http://schemas.openxmlformats.org/officeDocument/2006/relationships/hyperlink" Target="https://www.sec.gov/Archives/edgar/data/1107421/000095017022004972/tcrt-ex10_52.htm" TargetMode="External"/><Relationship Id="rId157" Type="http://schemas.openxmlformats.org/officeDocument/2006/relationships/hyperlink" Target="https://www.sec.gov/Archives/edgar/data/1107421/000095017022017225/tcrt-ex10_2.htm" TargetMode="External"/><Relationship Id="rId158" Type="http://schemas.openxmlformats.org/officeDocument/2006/relationships/hyperlink" Target="https://www.sec.gov/Archives/edgar/data/1107421/000119312522295491/d424988dex11.htm" TargetMode="External"/><Relationship Id="rId159" Type="http://schemas.openxmlformats.org/officeDocument/2006/relationships/hyperlink" Target="https://www.sec.gov/Archives/edgar/data/1107421/000095017023063354/tcrt-ex10_1.htm" TargetMode="External"/><Relationship Id="rId160" Type="http://schemas.openxmlformats.org/officeDocument/2006/relationships/hyperlink" Target="https://www.sec.gov/Archives/edgar/data/1107421/000095017023063354/tcr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2024-04-01T06:50:26Z</dcterms:created>
  <dcterms:modified xsi:type="dcterms:W3CDTF">2024-04-01T06:50:26Z</dcterms:modified>
</cp:coreProperties>
</file>