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2"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96520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ectPr>
          <w:pgSz w:w="11900" w:h="16838" w:orient="portrait"/>
          <w:cols w:equalWidth="0" w:num="1">
            <w:col w:w="11240"/>
          </w:cols>
          <w:pgMar w:left="320" w:top="605"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600" w:space="340"/>
            <w:col w:w="3300"/>
          </w:cols>
          <w:pgMar w:left="320" w:top="60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8030 El Rio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77054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(346) 355-4099</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170180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right="20" w:firstLine="59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00" w:firstLine="599"/>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jc w:val="both"/>
        <w:ind w:right="24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4"/>
          <w:szCs w:val="24"/>
          <w:color w:val="auto"/>
        </w:rPr>
      </w:pPr>
    </w:p>
    <w:p>
      <w:pPr>
        <w:ind w:right="500" w:firstLine="599"/>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600" w:right="202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2023, the number of outstanding shares of the registrant's common stock, $0.001 par value, was 240,627,055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74"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6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and fund our planned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including statements regarding the initiation, timing, progress and results of our research and development, preclinical studies and clinical programs;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through various stages of development, especially through pivotal safety and efficacy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final trial data may not support interim analysis of the viability of our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safety and efficacy of our product candidates;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from the U.S. Food and Drug Administration, or FDA, or equivalent foreign regulatory agencies for our product candidates and for which indications;</w:t>
      </w:r>
    </w:p>
    <w:p>
      <w:pPr>
        <w:spacing w:after="0" w:line="54"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relating to our product candidates from third parties and to comply with our existing license agreements;</w:t>
      </w:r>
    </w:p>
    <w:p>
      <w:pPr>
        <w:spacing w:after="0" w:line="54"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licenses;</w:t>
      </w:r>
    </w:p>
    <w:p>
      <w:pPr>
        <w:spacing w:after="0" w:line="116"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and degree of commercial scope and potential, as well as market acceptance of our product candidates for any indication, if approved;</w:t>
      </w:r>
    </w:p>
    <w:p>
      <w:pPr>
        <w:spacing w:after="0" w:line="54"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 pandemic, epidemic or outbreak.</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7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“Alaunos,” the “Company,” “we,” “us” or “our” refer to Alaunos Therapeutics, Inc., and its subsidiaries.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2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69" w:lineRule="exact"/>
        <w:rPr>
          <w:sz w:val="20"/>
          <w:szCs w:val="20"/>
          <w:color w:val="auto"/>
        </w:rPr>
      </w:pPr>
    </w:p>
    <w:p>
      <w:pPr>
        <w:ind w:left="1020" w:right="6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financial resources to continue as a going concern,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9"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non-viral adoptive cellular therapies based on T-cell receptor, or TCR, therapies can be considered as new approaches to cancer treatment, the successful development of which is subject to significant challenges.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54"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recruit, hire and retain qualified personnel, and we will continue to rely on key scientific and medical advisors, and their knowledge of our business and technical expertise would be difficult to replace.</w:t>
      </w:r>
    </w:p>
    <w:p>
      <w:pPr>
        <w:spacing w:after="0" w:line="54"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the necessary United States or worldwide regulatory approvals to commercialize any product candidate, our business will suffer.</w:t>
      </w:r>
    </w:p>
    <w:p>
      <w:pPr>
        <w:spacing w:after="0" w:line="54"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various stages of clinical development, which is very expensive and time-consuming. We cannot be certain when we will be able to submit a Biologics License Application, or BLA, to the FDA and any failure or delay in completing clinical trials for our product candidates could harm our business.</w:t>
      </w:r>
    </w:p>
    <w:p>
      <w:pPr>
        <w:spacing w:after="0" w:line="69" w:lineRule="exact"/>
        <w:rPr>
          <w:rFonts w:ascii="Times New Roman" w:cs="Times New Roman" w:eastAsia="Times New Roman" w:hAnsi="Times New Roman"/>
          <w:sz w:val="18"/>
          <w:szCs w:val="18"/>
          <w:color w:val="auto"/>
        </w:rPr>
      </w:pPr>
    </w:p>
    <w:p>
      <w:pPr>
        <w:ind w:left="1020" w:right="16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cellular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73"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immuno-oncology product candidates may face competition in the future from biosimilars.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applicable listing standards, our common stock may be delisted from the Nasdaq Global Select Market. Delisting could prevent us from maintaining an active, liquid and orderly trading market for our common stock.</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effect a reverse stock split of our common stock, but it may not result in the intended benefits. If we implement a reverse stock split, liquidity of our common stock may be adversely affected.</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3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6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March 31, 2023 (unaudited) and December 31, 2022</w:t>
            </w:r>
          </w:p>
        </w:tc>
        <w:tc>
          <w:tcPr>
            <w:tcW w:w="31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116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for the three months ended March 31, 2023 and 2022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Statements of Changes in Stockholders’ Equity for the three months ended March 31, 2023 and 2022 (unaudited)</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116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2023 and 2022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1160" w:type="dxa"/>
            <w:vAlign w:val="bottom"/>
          </w:tcPr>
          <w:p>
            <w:pPr>
              <w:spacing w:after="0"/>
              <w:rPr>
                <w:sz w:val="18"/>
                <w:szCs w:val="18"/>
                <w:color w:val="auto"/>
              </w:rPr>
            </w:pPr>
          </w:p>
        </w:tc>
        <w:tc>
          <w:tcPr>
            <w:tcW w:w="38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 (unaudited)</w:t>
            </w:r>
          </w:p>
        </w:tc>
        <w:tc>
          <w:tcPr>
            <w:tcW w:w="20" w:type="dxa"/>
            <w:vAlign w:val="bottom"/>
            <w:tcBorders>
              <w:top w:val="single" w:sz="8" w:color="0000FF"/>
              <w:bottom w:val="single" w:sz="8" w:color="0000EE"/>
            </w:tcBorders>
          </w:tcPr>
          <w:p>
            <w:pPr>
              <w:spacing w:after="0"/>
              <w:rPr>
                <w:sz w:val="18"/>
                <w:szCs w:val="18"/>
                <w:color w:val="auto"/>
              </w:rPr>
            </w:pPr>
          </w:p>
        </w:tc>
        <w:tc>
          <w:tcPr>
            <w:tcW w:w="3560" w:type="dxa"/>
            <w:vAlign w:val="bottom"/>
            <w:tcBorders>
              <w:top w:val="single" w:sz="8" w:color="0000FF"/>
            </w:tcBorders>
            <w:gridSpan w:val="6"/>
          </w:tcPr>
          <w:p>
            <w:pPr>
              <w:spacing w:after="0"/>
              <w:rPr>
                <w:sz w:val="18"/>
                <w:szCs w:val="18"/>
                <w:color w:val="auto"/>
              </w:rPr>
            </w:pPr>
          </w:p>
        </w:tc>
        <w:tc>
          <w:tcPr>
            <w:tcW w:w="1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00" w:type="dxa"/>
            <w:vAlign w:val="bottom"/>
            <w:tcBorders>
              <w:top w:val="single" w:sz="8" w:color="0000FF"/>
            </w:tcBorders>
            <w:gridSpan w:val="5"/>
          </w:tcPr>
          <w:p>
            <w:pPr>
              <w:spacing w:after="0"/>
              <w:rPr>
                <w:sz w:val="18"/>
                <w:szCs w:val="18"/>
                <w:color w:val="auto"/>
              </w:rPr>
            </w:pPr>
          </w:p>
        </w:tc>
        <w:tc>
          <w:tcPr>
            <w:tcW w:w="50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7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66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560" w:type="dxa"/>
            <w:vAlign w:val="bottom"/>
            <w:gridSpan w:val="13"/>
          </w:tcPr>
          <w:p>
            <w:pPr>
              <w:jc w:val="right"/>
              <w:ind w:right="166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Financial Statements</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26,382</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420,000,000 shares authorized, 240,627,055 shares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March 31, 2023 and 420,000,000 shares authorized, 240,410,761 shares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919,943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(890,675 )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(880,627 )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-3304540</wp:posOffset>
            </wp:positionV>
            <wp:extent cx="76835" cy="34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342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-1566545</wp:posOffset>
            </wp:positionV>
            <wp:extent cx="768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7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(853 )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(10,048 )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(9,788 )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239,679,352</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214,946,569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-1480820</wp:posOffset>
            </wp:positionV>
            <wp:extent cx="768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-530225</wp:posOffset>
            </wp:positionV>
            <wp:extent cx="768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March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13"/>
                <w:szCs w:val="13"/>
                <w:color w:val="auto"/>
              </w:rPr>
            </w:pPr>
          </w:p>
        </w:tc>
        <w:tc>
          <w:tcPr>
            <w:tcW w:w="124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240,410,761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918,942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(880,627 )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expenses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(10,048 )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(10,048 )</w:t>
            </w: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240,627,055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919,943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(890,675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March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20" w:type="dxa"/>
            <w:vAlign w:val="bottom"/>
          </w:tcPr>
          <w:p>
            <w:pPr>
              <w:spacing w:after="0"/>
              <w:rPr>
                <w:sz w:val="13"/>
                <w:szCs w:val="13"/>
                <w:color w:val="auto"/>
              </w:rPr>
            </w:pPr>
          </w:p>
        </w:tc>
        <w:tc>
          <w:tcPr>
            <w:tcW w:w="1240" w:type="dxa"/>
            <w:vAlign w:val="bottom"/>
            <w:gridSpan w:val="3"/>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216,127,443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(842,852 )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(176,882 )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(9,788 )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(9,788 )</w:t>
            </w: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215,950,561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901,546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(852,640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50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9"/>
              </w:rPr>
              <w:t>(10,048 )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(9,788 )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the carrying amount of right-of-use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(1,334 )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4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(133 )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32"/>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disposal of property and equipment</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(6,250 )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(6,158 )</w:t>
            </w: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-2460625</wp:posOffset>
            </wp:positionV>
            <wp:extent cx="125857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8570" cy="1968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-1814830</wp:posOffset>
            </wp:positionV>
            <wp:extent cx="7683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-1181100</wp:posOffset>
            </wp:positionV>
            <wp:extent cx="7683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-538480</wp:posOffset>
            </wp:positionV>
            <wp:extent cx="123317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 xml:space="preserve">Alaunos Therapeutics, Inc., which is referred to herein as “Alaunos,” or the “Company,” is a clinical-stage oncology-focused cell therapy company developing adoptive TCR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Times New Roman" w:cs="Times New Roman" w:eastAsia="Times New Roman" w:hAnsi="Times New Roman"/>
          <w:sz w:val="17"/>
          <w:szCs w:val="17"/>
          <w:i w:val="1"/>
          <w:iCs w:val="1"/>
          <w:color w:val="auto"/>
        </w:rPr>
        <w:t>Sleeping Beauty</w:t>
      </w:r>
      <w:r>
        <w:rPr>
          <w:rFonts w:ascii="Times New Roman" w:cs="Times New Roman" w:eastAsia="Times New Roman" w:hAnsi="Times New Roman"/>
          <w:sz w:val="17"/>
          <w:szCs w:val="17"/>
          <w:color w:val="auto"/>
        </w:rPr>
        <w:t xml:space="preserve"> gene transfer platform and its novel cancer mutation hotspot TCR library to design and manufacture personalized cell therapies that target neoantigens arising from common tumor-related mutations in key oncogenic genes, including </w:t>
      </w:r>
      <w:r>
        <w:rPr>
          <w:rFonts w:ascii="Times New Roman" w:cs="Times New Roman" w:eastAsia="Times New Roman" w:hAnsi="Times New Roman"/>
          <w:sz w:val="17"/>
          <w:szCs w:val="17"/>
          <w:i w:val="1"/>
          <w:iCs w:val="1"/>
          <w:color w:val="auto"/>
        </w:rPr>
        <w:t>KRAS, TP53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EGFR.</w:t>
      </w:r>
    </w:p>
    <w:p>
      <w:pPr>
        <w:spacing w:after="0" w:line="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 In May 2021, the Company announced that it will be winding down its existing Controlled IL-12 clinical program for the treatment of glioblastoma multiforme. The Company continues to seek a partner for this program.</w:t>
      </w:r>
    </w:p>
    <w:p>
      <w:pPr>
        <w:spacing w:after="0" w:line="6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As of March 31, 2023, there were 240,627,055 shares of common stock outstanding and an additional 36,235,588 shares of common stock reserved for issuance pursuant to outstanding stock options and warrants.</w:t>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condensed financial statements have been prepared on a going concern basis, which contemplates the realization of assets and satisfaction of liabilities and commitments in the normal course of business. The Company follows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its ability to continue as a going concern for one year after the date its condensed financial statements are issued. This evaluation initially does not take into consideration the potential mitigating effect of management's plans that have not been fully implemented as of the date the condensed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condensed financial statements are issued and (ii)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spacing w:after="0" w:line="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operated at a loss since its inception in 2003 and has no recurring revenue from operations. The Company anticipates that losses will continue for the foreseeable future. As of March 31, 2023, the Company had approximately $37.4 million of cash, cash equivalents and restricted cash. The restricted cash of $13.9 million at March 31, 2023 is related to the Company's debt agreement, which was subsequently repaid in its entirety on May 1, 2023 (see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Company’s accumulated deficit at March 31, 2023 was approximately $890.7 million. Given its current development plans and cash management efforts, the Company anticipates cash resources will be sufficient to fund operations into the fourth quarter of 2023. The Company’s ability to continue operations after its current cash resources are exhausted depends on future events outside of the Company's control, including its ability to obtain additional financing or to achieve profitable results, as to which no assurances can be given. If adequate additional funds are not available when required, or if the Company is unsuccessful in entering into partnership agreements for further development of its product candidates, management may need to curtail its development efforts and planned operations to conserve cash until sufficient additional capital is raised. There can be no assurances that such a plan would be successful.</w:t>
      </w:r>
    </w:p>
    <w:p>
      <w:pPr>
        <w:spacing w:after="0" w:line="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condensed financial statements, and substantial doubt as to the Company's ability to continue as a going concern exists. This forecast of cash resources is forward-looking information that involves risks and uncertainties, and the actual amount of expenses could vary materially and adversely as a result of a number of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accompanying unaudited interim condensed financial statements have been prepared in accordance with the instructions to Form 10-Q pursuant to the rules and regulations of the Securities and Exchange Commission, or the SEC. Certain information and note disclosures required by generally accepted accounting principles in the United States, or GAAP, have been condensed or omitted pursuant to such rules and regulations.</w:t>
      </w:r>
    </w:p>
    <w:p>
      <w:pPr>
        <w:spacing w:after="0" w:line="69"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It is management’s opinion that the accompanying unaudited interim condensed financial statements reflect all adjustments (which are normal and recurring) that are necessary for a fair presentation of the financial position of the Company and its results of operations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and cash flows for the periods presented. The unaudited interim condensed financial statements should be read in conjunction with the audited condensed financial statements and the notes thereto for the year ended December 31, 2022, included in the Company’s Annual Report on Form 10-K for the fiscal year ended December 31, 2022 filed with the SEC on March 7, 2023, or the Annual Report.</w:t>
      </w:r>
    </w:p>
    <w:p>
      <w:pPr>
        <w:spacing w:after="0" w:line="6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results disclosed in the statements of operations for the three months ended March 31, 2023 are not necessarily indicative of the results to be expected for the full fiscal year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and liabilities and the disclosure of contingent assets and liabilities at the date of the condensed financial 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spacing w:after="0" w:line="17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or the Loan and Security Agreement, with Silicon Valley Bank and affiliates of Silicon Valley Bank, or collectively, SVB. The Loan and Security Agreement provided for an initial term loan of $25.0 million funded at the closing, or the Term A Tranche, with an additional tranche of $25.0 million available if certain funding and clinical milestones were met by August 31, 2022, or the Term B Tranche.</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Effective December 28, 2021, the Company entered into a First Amendment to the Loan and Security Agreement. The First Amendment extended the interest-only period through August 31, 2022. The First Amendment also eliminated the Term B Tranche, which remained unfunded, leaving only the Term A Tranche, or the SVB Facility. Under the amended Loan and Security Agreement, the SVB Facility was to mature on August 1, 2023. On May 1, 2023, the Company repaid its outstanding debt obligations in their entirety.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First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12, 2022, the Company entered into an Equity Distribution Agreement, or the Equity Distribution Agreement, with Piper Sandler &amp; Co., or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 Distribution Agreement. During the three months ended March 31, 2023, there have been no sales of the Company's common stock under the Equity Distribution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On November 29, 2022, the Company entered into an underwriting agreement, or the Underwriting Agreement, with Cantor Fitzgerald &amp; Co., or the Underwriter, as the sole underwriter, relating to the issuance and sale in an underwritten offering, or the Offering, of 24,228,719 shares, or the Firm Shares, of the Company’s common stock to the Underwriter at a price of $0.6191 per share.</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net proceeds to the Company from the Offering were $14.7 million (before accounting for the partial exercise of the Underwriter's option as described below) after deducting underwriting discounts and commissions and offering expenses payable by the Company.</w:t>
      </w:r>
    </w:p>
    <w:p>
      <w:pPr>
        <w:spacing w:after="0" w:line="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the Company granted the Underwriter an option, exercisable for 30 days, to purchase up to an additional 3,634,307 shares of common stock, which we refer to, together with the Firm Shares, as the Shares, at the same price per share as the Firm Shares. On January 5, 2023, the Underwriter partially exercised its option to purchase an additional 216,294 shares of common stock.</w:t>
      </w:r>
    </w:p>
    <w:p>
      <w:pPr>
        <w:spacing w:after="0" w:line="173"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were identified in the Company’s Annual Report. There have been no material changes in those policies since the filing of its Annual Report.</w:t>
      </w:r>
    </w:p>
    <w:p>
      <w:pPr>
        <w:spacing w:after="0" w:line="15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debt obligation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(630 )</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August 6, 2021, the Company entered into the Loan and Security Agreement with SVB. The Loan and Security Agreement provided for the funding of the Term A Tranche at the closing, with the Term B Tranche available if certain funding and clinical milestones were met by August 31, 2022. The SVB Facility and related obligations under the Loan and Security Agreement were secured by substantially all of the Company's properties, rights and assets, except for its intellectual property (which was subject to a negative pledge under the Loan and Security Agreement). In addition, the Loan and Security Agreement contained customary representations, warranties, events of default and covenants. As of March 31, 2023, the Company was in compliance with all debt covenants, as amended.</w:t>
      </w:r>
    </w:p>
    <w:p>
      <w:pPr>
        <w:spacing w:after="0" w:line="7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December 28, 2021, the Company entered into the First Amendment to the Loan and Security Agreement. The First Amendment eliminated the unfunded Term B Tranche, among other things. The SVB Facility bore interest at a floating rate per annum on outstanding loans, payable monthly, at the greater of (a) 7.75% and (b) the current published U.S. prime rate, plus a margin of 4.5%. As of March 31, 2023, interest on the outstanding loans was 12.5%. Commencing on September 1, 2022, aggregate outstanding borrowings became repayable in twelve consecutive, equal monthly installments of principal plus accrued interest.</w:t>
      </w:r>
    </w:p>
    <w:p>
      <w:pPr>
        <w:spacing w:after="0" w:line="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were due and payable on August 1, 2023. In connection with the payment of all of the Company's outstanding obligations, the Company also owed SVB 5.75% of the original principal amounts borrowed as a final payment, or the Final Payment.</w:t>
      </w:r>
    </w:p>
    <w:p>
      <w:pPr>
        <w:spacing w:after="0" w:line="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Effective March 30, 2023, the Company entered into a Third Amendment to the Loan and Security Agreement, or the Third Amendment. Under the terms of the Third Amendment, the Company was no longer required to maintain all of its operating accounts, depository accounts and excess cash with SVB or one of its affiliates, and was instead only required to maintain a single operating or depository account at Silicon Valley Bank. The Third Amendment also modified the cash collateralization requirement, such that the Company was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7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On May 1, 2023, the Company paid SVB an amount equal to the entire outstanding principal amount under the SVB Facility, which was $10.4 million as of March 31, 2023, all accrued and unpaid interest and the Final Payment of $1.4 million. In accordance with the First Amendment, the payment was subject to a prepayment premium of 2.00%, or $0.1 million. Recorded issuance costs associated with the SVB Facility as of March 31, 2023 were $0.4 million.</w:t>
      </w:r>
    </w:p>
    <w:p>
      <w:pPr>
        <w:spacing w:after="0" w:line="51"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in August 2021, the Company issued to SVB warrants to purchase (i) up to 432,844 shares of the Company’s common stock, in the aggregate, and (ii) up to an additional 432,842 shares of common stock, in the aggregate, in the event the Company achieved certain clinical milestones, in each case at an exercise price per share of $2.22.</w:t>
      </w:r>
    </w:p>
    <w:p>
      <w:pPr>
        <w:spacing w:after="0" w:line="6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 connection with its entry into the First Amendment in December 2021, the Company amended and restated the warrants issued to SVB. As amended and restated, the warrants are for up to 649,615 shares of the Company's common stock, in the aggregate, with an exercise price of $1.16 per share, or the SVB Warrants. The SVB Warrants expire on August 6, 2031.</w:t>
      </w:r>
    </w:p>
    <w:p>
      <w:pPr>
        <w:spacing w:after="0" w:line="69"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First Amendment, were approximately $1.2 million and primarily related to the issuance of the SVB Warrants, which were amortized into interest expense over the term of the loan. Interest expense, including the amortization of issuance costs, was $0.9 million for the three months ended March 31, 2023 and was $0.7 million for the three months ended March 31, 2022.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March 31, 2023 approximates its face value.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55" w:lineRule="exact"/>
        <w:rPr>
          <w:sz w:val="20"/>
          <w:szCs w:val="20"/>
          <w:color w:val="auto"/>
        </w:rPr>
      </w:pPr>
    </w:p>
    <w:p>
      <w:pPr>
        <w:ind w:left="1260" w:hanging="50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1260" w:right="180" w:hanging="503"/>
        <w:spacing w:after="0" w:line="265"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9" w:lineRule="exact"/>
        <w:rPr>
          <w:rFonts w:ascii="Times New Roman" w:cs="Times New Roman" w:eastAsia="Times New Roman" w:hAnsi="Times New Roman"/>
          <w:sz w:val="18"/>
          <w:szCs w:val="18"/>
          <w:color w:val="auto"/>
        </w:rPr>
      </w:pPr>
    </w:p>
    <w:p>
      <w:pPr>
        <w:ind w:left="1260" w:right="300" w:hanging="503"/>
        <w:spacing w:after="0" w:line="281"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March 31, 2023 and December 31,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5"/>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720" w:type="dxa"/>
            <w:vAlign w:val="bottom"/>
            <w:tcBorders>
              <w:top w:val="single" w:sz="8" w:color="auto"/>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8"/>
              </w:rPr>
              <w:t>2,479</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6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38,058</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38,058</w:t>
            </w:r>
          </w:p>
        </w:tc>
        <w:tc>
          <w:tcPr>
            <w:tcW w:w="18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-958215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-941070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-958215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-941070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-958215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-941070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w:t>
      </w:r>
    </w:p>
    <w:p>
      <w:pPr>
        <w:spacing w:after="0" w:line="5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three months ended March 31, 2023. We had no financial assets or liabilities that were classified as Level 2 or Level 3 as of December 31, 2022, nor during the three months ended March 31, 2023.</w:t>
      </w:r>
    </w:p>
    <w:p>
      <w:pPr>
        <w:spacing w:after="0" w:line="15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 Such potentially dilutive shares of common stock consisted of the following as of March 31, 2023 and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39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13,313,246</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10,969,654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898,125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9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37,133,713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9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7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-675640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or TriArm, launched Eden BioCell, Ltd., or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-generated CAR-T therapies in the People’s Republic of China (including Macau and Hong Kong), Taiwan and Korea. The Company licensed to Eden BioCell the rights in Greater China for its third-generation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Eden BioCell is owned equally by the Company and TriArm and the parties share decision-making authority. TriArm contributed $10.0 million to Eden BioCell and has committed up to an additional $25.0 million to this joint venture. TriArm also managed all clinical development in the territory pursuant to a master services agreement between TriArm and Eden BioCell. James Huang was the founder and serves as managing partner of Panacea Venture, which is an investor in TriArm. Mr. Huang is the Chair of the Company's board of directors and has been a director since July 2020. He also serves as a member of Eden BioCell’s board of directors.</w:t>
      </w:r>
    </w:p>
    <w:p>
      <w:pPr>
        <w:spacing w:after="0" w:line="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For the three months ended March 31, 2023, Eden BioCell incurred a net loss and the Company continues to have no commitment to fund its operations. In September 2021, TriArm and Alaunos mutually agreed to dissolve the Eden BioCell joint venture. The joint venture agreement has been terminated and the Eden BioCell entity is in the process of being dissolved. Refer to Note 12,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On April 19, 2023, the Company terminated its Boston office lease, which was set to expire on August 31, 2026. In connection with the termination, the Company also assigned to the landlord its sub-sublease of the Boston office space, which had a term to June 30, 2025 with an option to extend through July 31, 2026. As of March 31, 2023, the Boston office right-of-use asset is $0.5 million and the associated lease liability is $0.8 million. Termination costs for the Boston office lease are $0.2 million.</w:t>
      </w:r>
    </w:p>
    <w:p>
      <w:pPr>
        <w:spacing w:after="0" w:line="17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Precigen</w:t>
      </w:r>
    </w:p>
    <w:p>
      <w:pPr>
        <w:spacing w:after="0" w:line="119"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18"/>
          <w:szCs w:val="18"/>
          <w:color w:val="auto"/>
        </w:rPr>
        <w:t xml:space="preserve">On October 5, 2018, the Company entered into an exclusive license agreement, or License Agreement, with PGEN Therapeutics, or PGEN, a wholly owned subsidiary of Precigen Inc., or Precigen, which was formerly known as Intrexon Corporation. The Company refers to PGEN and Precigen together as Precigen. Pursuant to the terms of the License Agreement, the Company had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Under the License Agreement, the Company also had exclusive, worldwide rights for certain patents relating to the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research, develop and commercialize TCR products for both neoantigens and shared antigens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referred to as TCR Products.</w:t>
      </w:r>
    </w:p>
    <w:p>
      <w:pPr>
        <w:spacing w:after="0" w:line="83"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Company was responsible for all aspects of the research, development and commercialization and was required to use commercially reasonable efforts to develop certain products.</w:t>
      </w:r>
    </w:p>
    <w:p>
      <w:pPr>
        <w:spacing w:after="0" w:line="55"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Precigen, the Company was required to pay Precigen an annual license fee of $0.1 million, reimburse Precigen for certain historical costs, pay Precigen milestones up to an additional $52.5 million for each exclusively licensed program upon the achievement of certain milestones, and pay Precigen tiered royalties up to a maximum royalty amount of $100.0 million in the aggregate. The Company was also obligated to pay Precigen 20% of any sublicensing income received by us relating to the licensed products. The Company was responsible for all development costs associated with each of the licensed products.</w:t>
      </w:r>
    </w:p>
    <w:p>
      <w:pPr>
        <w:spacing w:after="0" w:line="74"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Precigen was obligated to pay the Company royalties up to a maximum royalty amount of $100.0 million. No royalty amounts were incurred during the three months ended March 31, 2023 and 2022.</w:t>
      </w:r>
    </w:p>
    <w:p>
      <w:pPr>
        <w:spacing w:after="0" w:line="55"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On April 3, 2023, the Company entered into the Amended and Restated Exclusive License Agreement with Precigen, or the A&amp;R License Agreement, which restated and amended the License Agreement in full. Under the A&amp;R License Agreement, the Company still has exclusive, worldwide rights to research, develop and commercialize TCR products designed for neoantigens or driver mutations for the treatment of cancer and non-exclusive rights to use non-driver mutation TCRs. The Company further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color w:val="auto"/>
        </w:rPr>
        <w:t xml:space="preserve">maintains its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53" w:lineRule="exact"/>
        <w:rPr>
          <w:sz w:val="20"/>
          <w:szCs w:val="20"/>
          <w:color w:val="auto"/>
        </w:rPr>
      </w:pPr>
    </w:p>
    <w:p>
      <w:pPr>
        <w:ind w:right="520"/>
        <w:spacing w:after="0" w:line="254" w:lineRule="auto"/>
        <w:rPr>
          <w:sz w:val="20"/>
          <w:szCs w:val="20"/>
          <w:color w:val="auto"/>
        </w:rPr>
      </w:pPr>
      <w:r>
        <w:rPr>
          <w:rFonts w:ascii="Times New Roman" w:cs="Times New Roman" w:eastAsia="Times New Roman" w:hAnsi="Times New Roman"/>
          <w:sz w:val="18"/>
          <w:szCs w:val="18"/>
          <w:color w:val="auto"/>
        </w:rPr>
        <w:t>The Company remains solely responsible for all aspects of the research, development and commercialization of the exclusively licensed products for the treatment of cancer. The (i) products utilizing Precigen’s RheoSwitch® gene switch, or RTS, for the treatment of cancer, referred to as IL-12 Products and (ii) CAR products directed to (A) 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are no longer exclusively licensed to the Company. The Company is no longer obligated to use commercially reasonable efforts for the exclusively licensed products. The A&amp;R License Agreement further eliminates any royalty or milestone obligations to Precigen, with an annual license fee of $75 thousand due on the anniversary of the A&amp;R License Agreement effective date. Precigen is no longer obligated to pay the Company royalties on the net sales derived from the sale of Precigen's CAR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spacing w:after="0" w:line="7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Research and Development Agreement, or the 2019 R&amp;D Agreement, which the Company entered into on October 22, 2019, with MD Anderson, pursuant to which the Company agreed to collaborate with respect to the TCR program.</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Precigen, and MD Anderson.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1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Under the 2019 R&amp;D Agreement, the Company and MD Anderson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all intellectual property, patentable or not,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to develop and commercialize autologous TCR products manufactured using viral gene transfer technologies and any products outside the field of oncology and a non-exclusive license for allogenic TCR products manufactured using viral-based technologies.</w:t>
      </w:r>
    </w:p>
    <w:p>
      <w:pPr>
        <w:spacing w:after="0" w:line="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three months ended March 31, 2023, the Company incurred clinical expenses of $0.2 million from MD Anderson related to this agreement compared to $0.1 million for the three months ended March 31, 2022.</w:t>
      </w:r>
    </w:p>
    <w:p>
      <w:pPr>
        <w:spacing w:after="0" w:line="78"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2019 R&amp;D Agreement, on October 22, 2019, the Company issued MD Anderson a warrant to purchase 3,333,333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Company's common stock, which is referred to as the MD Anderson Warrant. The MD Anderson Warrant has an initial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expires on December 31, 2026, and vests upon the occurrence of certain clinical milestones. As of March 31, 2023, the milestones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been met.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National Cancer Institute, or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8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terms of the Patent License require the Company to pay the NCI minimum annual royalties in the amount of $0.3 million, which will be reduced to $0.1 million once the aggregate minimum annual royalties paid by the Company equals $1.5 million.</w:t>
      </w:r>
    </w:p>
    <w:p>
      <w:pPr>
        <w:spacing w:after="0" w:line="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paid during the year ended December 31, 2022 upon the initiation of the Company's TCR-T Library Phase 1/2 Trial, which was a qualifying Phase 1 clinical trial under the terms of the Patent License.</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7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three months ended March 31, 2023 and 2022, the Company recognized $0.3 million in license payments to the NCI under this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or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will be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is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the NCI or decides not to file a patent covering the joint invention, the NCI has the right to make the filing. For any invention solely owned by the NCI or jointly made by the NCI and the Company for which a patent application was filed, the U.S. Public Health service grants the Company an exclusive option to elect an exclusive or non-exclusive commercialization license. For inventions owned solely by the NCI or jointly owned by the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8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NCI has a cleared Investigational New Drug Application, or IND, that would permit them to begin this trial. To the Company's knowledge, the trial has not yet enrolled. The progress and timeline for this trial, including the timeline for dosing patients, are under control of the NCI.</w:t>
      </w:r>
    </w:p>
    <w:p>
      <w:pPr>
        <w:spacing w:after="0" w:line="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however, for the third and fourth quarters of 2021, the Company was not required to make payments toward the program as agreed with the NCI. In March 2022, the Company entered into an amendment to the CRADA that is retroactive, effective January 9, 2022 to extend the term of the CRADA until January 9, 2023. In June 2022, the Company entered into the Fourth Amendment to the CRADA, or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recorded expenses of $0.3 million under the CRADA for the three months ended March 31, 2023, as compared to $0 for the three months ended March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7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fees that the Company may receive from a possible sublicense under certain circumstances. During the three months ended March 31, 2023 and 2022, the Company did not incur any milestone expenses or royalty expenses on sales under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or Solasia, which was amended on July 31, 2014 to include an exclusive worldwide license and amended on October 14,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June 2022, Solasia announced that darinaparsin had been approved from relapsed or refractory Peripheral T-Cell Lymphoma by the Ministry of Health, Labor and Welfare in Japan. During the three months ended March 31, 2023 and 2022, the Company did not earn collaboration revenue or royalty revenues on net sales under the Solasia License and Collaboration Agreement.</w:t>
      </w:r>
    </w:p>
    <w:p>
      <w:pPr>
        <w:spacing w:after="0" w:line="17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on all employee and non-employee awards as follows:</w:t>
      </w:r>
    </w:p>
    <w:p>
      <w:pPr>
        <w:spacing w:after="0" w:line="219"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FF0FC"/>
          </w:tcPr>
          <w:p>
            <w:pPr>
              <w:spacing w:after="0"/>
              <w:rPr>
                <w:sz w:val="20"/>
                <w:szCs w:val="20"/>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0"/>
                <w:szCs w:val="20"/>
                <w:color w:val="auto"/>
              </w:rPr>
            </w:pPr>
          </w:p>
        </w:tc>
      </w:tr>
      <w:tr>
        <w:trPr>
          <w:trHeight w:val="27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42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425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The Company granted an aggregate of 3,065,168 stock options during the three months ended March 31, 2023, with a weighted-average grant date fair value of $0.39 per share, and granted an aggregate of 2,690,000 stock options during the three months ended March 31, 2022, with a weighted-average grant date fair value of $0.47 per share.</w:t>
      </w:r>
    </w:p>
    <w:p>
      <w:pPr>
        <w:spacing w:after="0" w:line="6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and 2022, the fair value of stock options was estimated on the date of grant using a Black-Scholes option valuation model with the following assumptions: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5800" w:type="dxa"/>
            <w:vAlign w:val="bottom"/>
          </w:tcPr>
          <w:p>
            <w:pPr>
              <w:spacing w:after="0"/>
              <w:rPr>
                <w:sz w:val="14"/>
                <w:szCs w:val="14"/>
                <w:color w:val="auto"/>
              </w:rPr>
            </w:pPr>
          </w:p>
        </w:tc>
        <w:tc>
          <w:tcPr>
            <w:tcW w:w="14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 – 3.87%</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2.43%</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5.06 - 6.25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89.69 - 95.63%</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76.27%</w:t>
            </w: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 plans for the three months ended March 31, 2023 is as follows: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10,408,622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3,065,168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(160,544 )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March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13,313,246</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top w:val="single" w:sz="8" w:color="CFF0FC"/>
            </w:tcBorders>
          </w:tcPr>
          <w:p>
            <w:pPr>
              <w:spacing w:after="0"/>
              <w:rPr>
                <w:sz w:val="20"/>
                <w:szCs w:val="20"/>
                <w:color w:val="auto"/>
              </w:rPr>
            </w:pPr>
          </w:p>
        </w:tc>
        <w:tc>
          <w:tcPr>
            <w:tcW w:w="118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March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4,553,574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3,891,598</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available for future grant, March 31,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12,555,464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-727075</wp:posOffset>
            </wp:positionV>
            <wp:extent cx="7683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-727075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-384810</wp:posOffset>
            </wp:positionV>
            <wp:extent cx="269684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At March 31, 2023, total unrecognized compensation costs related to unvested stock options outstanding amounted to $6.6 million. The cost is expected to be recognized over a weighted-average period of 1.96 years.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unvested restricted stock for the three months ended March 31, 2023 is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939,062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(40,937 )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March 31,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898,125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At March 31, 2023, total unrecognized compensation costs related to unvested restricted stock outstanding amounted to $0.9 million. The cost is expected to be recognized over a weighted-average period of 1.72 years.</w:t>
      </w:r>
    </w:p>
    <w:p>
      <w:pPr>
        <w:spacing w:after="0" w:line="159"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or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74"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17,803,031 additional shares of common stock, or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months ended March 31, 2023 and 2022, the Company did not recognize any expense related to the MD Anderson Warrant as the clinical milestones had not been achieved.</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Loan and Security Agreement, the Company issued SVB warrants to purchase 432,844 shares of common stock with an exercise price of $2.22 per share. The warrants have a ten-year life and were fully vested upon issuance. The fair value of the warrants was estimated at $0.8 million using a Black-Scholes model with the following assumptions: expected volatility of 79%, risk free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rate of 1.31%, expected life of ten years and no dividends. On December 28, 2021, the Company entered into the First Amendment, as described in Note 4,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in connection with which, the original warrants issued to SVB were amended and restated. As amended and restated, the SVB Warrants are for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649,615 shares of common stock, in the aggregate, with an exercise price of $1.16 per share. The SVB Warrants expire on August 6, 2031 and were fully vested upon issuance.</w:t>
      </w:r>
    </w:p>
    <w:p>
      <w:pPr>
        <w:spacing w:after="0" w:line="178"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agreed to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55"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7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6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and 2022, Eden BioCell incurred a net loss. In September 2021, TriArm and the Company mutually agreed to dissolve the joint venture, which has now been terminated. The Eden BioCell entity is in the process of being dissolved.</w:t>
      </w:r>
    </w:p>
    <w:p>
      <w:pPr>
        <w:spacing w:after="0" w:line="199"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3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the date on which these condensed financial statements were issued. Other than as described in the notes above, the Company did not have any other material subsequent events that impacted its condensed financial statements or disclosures.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included in this Quarterly Report on Form 10-Q and the audited financial information and related notes included in our Annual Report on Form 10-K, which was filed with the Securities and Exchange Commission, or the SEC, on March 7, 2023, or the Annual Report.</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Quarterly Report on Form 10-Q may be deemed to contain forward-looking statements that reflect our plans, estimates and beliefs.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7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i w:val="1"/>
          <w:iCs w:val="1"/>
          <w:color w:val="auto"/>
        </w:rPr>
        <w:t>Our actual results could differ materially from those contained in or implied by any forward-looking statements. Factors that could cause or contribute to these differences include those risks identified under Part II, Item 1A. Risk Factors.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oncology-focused cell therapy company developing adoptive TCR-T cell therapy,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gene transfer platform to design and manufacture patient-specific cell therapies that target neoantigens arising from shared tumor-specific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the MD Anderson Cancer Center, or MD Anderson, we are currently enrolling and treating patients for a Phase 1/2 clinical trial evaluating 12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three months ended March 31, 2023, we had a net loss of $10.0 million, and as of March 31, 2023, we have incurred approximately $890.7 million of accumulated deficit since our inception in 2003. We expect to continue to incur significant operating expenditures and net losses. Further development of our product candidates will likely require substantial increases in our expenses as we:</w:t>
      </w:r>
    </w:p>
    <w:p>
      <w:pPr>
        <w:spacing w:after="0" w:line="74"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undertake clinical trials for product candidates;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and scale out the manufacturing of our product candidates.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continue to seek additional financial resources to fund the further development of our product candidates. If we are unable to obtain sufficient additional capital, one or more of these programs could be delayed, and we may be unable to continue our operations at planned levels and be forced to reduce our operations. Because of the numerous risks and uncertainties associated with product development, we are unable to predict the timing or amount of increased expenses or when or if we will be able to achieve or maintain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TCR-T Library Phase 1/2 Trial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continued actively enrolling patients in our TCR-T Library Phase 1/2 Trial targeting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hotspot mutations across six solid tumor indications throughout the first quarter of 2023. Early translational data from the program from the first three patients treated in the trial will be highlighted in a poster at the 2023 American Society of Clinical Oncology (ASCO) Annual Meeting taking place in June 2023. We currently expect to provide an interim data update on multiple new patients in the third quarter and continue to anticipate Phase 2 readiness with a recommended Phase 2 dose by the end of 2023. We anticipate treating between nine and 12 patients by the end of 2023 in order to complete the Phase 1 portion of the trial.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280"/>
        <w:spacing w:after="0" w:line="265" w:lineRule="auto"/>
        <w:rPr>
          <w:sz w:val="20"/>
          <w:szCs w:val="20"/>
          <w:color w:val="auto"/>
        </w:rPr>
      </w:pPr>
      <w:r>
        <w:rPr>
          <w:rFonts w:ascii="Times New Roman" w:cs="Times New Roman" w:eastAsia="Times New Roman" w:hAnsi="Times New Roman"/>
          <w:sz w:val="18"/>
          <w:szCs w:val="18"/>
          <w:color w:val="auto"/>
        </w:rPr>
        <w:t>As previously disclosed, we have enhanced our manufacturing process to move from fresh to cryopreserved cell product and have successfully manufactured multiple cryopreserved products in the first quarter of 2023, enabling greater flexibility for patient scheduling and treatment. Initiatives to further optimize the manufacturing process continue in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hunTR® Platform</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hunTR® platform for TCR discovery continues to make progress identifying and validating proprietary TCRs. We have added infrastructure to increase the screening throughput potential of hunTR while maintaining a high success rate of TCR discovery. We aim to add three new TCRs to the library by the end of 2023. We believe that successfully increasing throughput of the hunTR platform has the potential to generate out-licensing or partnering opportunities.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mbIL-15 Program</w:t>
      </w:r>
    </w:p>
    <w:p>
      <w:pPr>
        <w:spacing w:after="0" w:line="11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are advancing our mbIL-15 TCR-T cell therapy program towards an IND filing anticipated in the second half of 2023. We believe mbIL-15 has the potential to increase the survival of TCR-T cells in the harsh tumor microenvironment and deepen clinical responses. In addition, we continue to conduct translational assessments of treated patients to guide next generation TCR-T therapy approaches including potential combination and multiplexed TCR-T cell therapies.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w:t>
      </w:r>
    </w:p>
    <w:p>
      <w:pPr>
        <w:spacing w:after="0" w:line="11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7"/>
          <w:szCs w:val="17"/>
          <w:color w:val="auto"/>
        </w:rPr>
        <w:t>On May 1, 2023, we paid all amounts outstanding under our amended Loan and Security Agreement (as defined below) with Silicon Valley Bank and affiliates of Silicon Valley Bank, or collectively, SVB, comprised of the entire outstanding principal amount under the SVB Facility (as defined below), which was $10.4 million as of March 31, 2023, all accrued and unpaid interest and the Final Payment (as defined below). The payment was subject to a prepayment premium of 2.00%, or $0.1 million. Recorded issuance costs associated with the SVB Facility as of March 31, 2023 were $0.4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Precigen A&amp;R License Agreement</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April 3, 2023, we and Precigen, Inc., or Precigen, entered into an Amended and Restated Exclusive License Agreement, or the A&amp;R License Agreement. The A&amp;R License Agreement amended and restated in its entirety the original Exclusive License Agreement dated October 5, 2018 by and between us and Precigen, or the License Agreement. Under the A&amp;R License Agreement, all rights under the License Agreement with respect to the IL-12 products and CAR products are now held exclusively by Precigen, and we are no longer obligated to develop or commercialize any CD19, IL-12 or TCR products. We retained exclusive, worldwide rights to research and develop and commercialize TCR products designed for neoantigens or driver mutations for the treatment of cancer. Additionally, all royalty and milestone obligations between us and Precigen have been removed, and annual license payments due to Precigen have been reduced from $100 thousand to $75 thousand. The A&amp;R License Agreement also modified the license provision so that patents granted to us will expire upon the expiration or abandonment of the last-to-expire valid claim, or the Patent Term, and not the later of such expiration or abandonment and 12 years following the first commercial sale. The exclusive license granted to us with respect to know-how will become non-exclusive following the Patent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March 29, 2023, Christopher Bowden, M.D. delivered notice of his resignation from the board of directors, effective March 30, 2023. On March 30, 2023, the board of directors appointed Robert Hofmeister, Ph.D. to fill the vacancy created by Dr. Bowden’s resignation. Dr. Hofmeister was also appointed to the Corporate Governance and Nominating Committee and the Compensation Committee of the board of directors, replacing Dr. Bowden.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expenses for personnel, costs of contract manufacturing services, costs of facilities, reagents and equipment, fees paid to professional service providers in conjunction with our clinical trials, fees paid to contract research organizations, or CROs, in conjunction with clinical trials, fees paid to CROs in conjunction with costs of materials used in research and development, consulting, license and milestone payments and sponsored research fees paid to third parties.</w:t>
      </w:r>
    </w:p>
    <w:p>
      <w:pPr>
        <w:spacing w:after="0" w:line="7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future research and development expenses in support of our current and future programs will be subject to numerous uncertainties in timing and cost to completion. We test potential products in numerous preclinical studies for safety, toxicology and efficacy. We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300"/>
        <w:spacing w:after="0" w:line="260" w:lineRule="auto"/>
        <w:rPr>
          <w:sz w:val="20"/>
          <w:szCs w:val="20"/>
          <w:color w:val="auto"/>
        </w:rPr>
      </w:pPr>
      <w:r>
        <w:rPr>
          <w:rFonts w:ascii="Times New Roman" w:cs="Times New Roman" w:eastAsia="Times New Roman" w:hAnsi="Times New Roman"/>
          <w:sz w:val="18"/>
          <w:szCs w:val="18"/>
          <w:color w:val="auto"/>
        </w:rPr>
        <w:t>may conduct multiple clinical trials for each product. As we obtain results from trials, we may elect to discontinue or delay clinical trials for certain products in order to focus our resources on more promising products or indications. Completion of clinical trials may take several years or more, and the length of time generally varies substantially according to the type, complexity, novelty and intended use of a product. It is not unusual for preclinical and clinical development of each of these types of products to require the expenditure of substantial resources.</w:t>
      </w:r>
    </w:p>
    <w:p>
      <w:pPr>
        <w:spacing w:after="0" w:line="8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clinical development, including, among others, the following:</w:t>
      </w:r>
    </w:p>
    <w:p>
      <w:pPr>
        <w:spacing w:after="0" w:line="55"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cost to develop and optimize manufacturing processes;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the clinical products for patients;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to ensure the absence of long-term product-related adverse events;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the duration and completion costs of our programs or when and to what extent we will receive cash inflows from the commercialization and sale of a product. Our inability to complete our programs in a timely manner or our failure to enter into appropriate collaborative agreements could significantly increase our capital requirements and could adversely impact our liquidity. These uncertainties could force us to seek additional, external sources of financing from time-to-time in order to continue with our product development strategy or reduce or eliminate our activities in one or more of our programs. Our inability to raise additional capital, or to do so on terms reasonably acceptable to us, would jeopardize the future success of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Other income (expense) consists primarily of interest expense associated with our amended Loan and Security Agreement (as defined below), interest income on our cash balances and sublease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Compared to Three Months Ended March 31,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three months ended March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924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2023 increased by $0.9 million when compared to the three months ended March 31, 2022, primarily due to higher program-related costs of $1.7 million related to increased manufacturing activities for our TCR-T Library Phase 1/2 Trial and research and development efforts related to our hunTR discovery engine, partially offset by a $0.7 million decrease in employee-related expenses due to lower salary and severance-related costs and a $0.1 million decrease in facilities and lease expenses following the reduction of our real estate footprint in 2022.</w:t>
      </w:r>
    </w:p>
    <w:p>
      <w:pPr>
        <w:spacing w:after="0" w:line="7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2023, our clinical stage projects included our TCR-T Library Phase 1/2 Trial evaluating TCRs from our library for the investigational treatment of non-small cell lung, colorectal, endometrial, pancreatic, ovarian and bile duct cancers.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three months ended March 31, 2023 and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(337 )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2023 decreased by $0.3 million as compared to the three months ended March 31, 2022, primarily due to lower professional fees of $0.2 million as a result of reducing our use of consultants and a $0.1 million decrease in other expenses primarily due to lower insurance costs and lease expenses following the reduction of our real estate footprint in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during the three months ended March 31, 2023 and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800" w:type="dxa"/>
            <w:vAlign w:val="bottom"/>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(683 )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(170 )</w:t>
            </w:r>
          </w:p>
        </w:tc>
        <w:tc>
          <w:tcPr>
            <w:tcW w:w="4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(20 )</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5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Other expense, net for the three months ended March 31, 2023 decreased by $0.3 million as compared to the three months ended March 31, 2022, primarily due to higher interest income of $0.5 million as a result of increasing interest rates, partially offset by higher interest expense of $0.2 million associated with our amended Loan and Security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130"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March 31, 2023, we have received an aggregate of $729.2 million from issuances of equity and $25.0 million from our amended Loan and Security Agreement.</w:t>
      </w:r>
    </w:p>
    <w:p>
      <w:pPr>
        <w:spacing w:after="0" w:line="83"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8"/>
          <w:szCs w:val="18"/>
          <w:color w:val="auto"/>
        </w:rPr>
        <w:t>On March 10, 2023, SVB was closed by the California Department of Financial Protection and Innovation and the Federal Deposit Insurance Corporation was appointed as receiver. During March 2023, we established a banking relationship with a financial institution in addition to SVB.</w:t>
      </w:r>
    </w:p>
    <w:p>
      <w:pPr>
        <w:spacing w:after="0" w:line="5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We follow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condensed financial statements are issued. Given our current development plans and cash management efforts, we anticipate that our cash resources will be sufficient to fund operations into the fourth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2022 Public Offering</w:t>
      </w:r>
    </w:p>
    <w:p>
      <w:pPr>
        <w:spacing w:after="0" w:line="11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On November 29, 2022, we entered into an underwriting agreement, or the Underwriting Agreement, with Cantor Fitzgerald &amp; Co., or the Underwriter, as the sole underwriter, relating to the issuance and sale in an underwritten offering, or the Offering, of 24,228,719 shares of our common stock, or the Firm Shares, to the Underwriter at a price of $0.6191 per share.</w:t>
      </w:r>
    </w:p>
    <w:p>
      <w:pPr>
        <w:spacing w:after="0" w:line="6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net proceeds from the Offering were $14.7 million (before accounting for the partial exercise of the Underwriter's option as described below) after deducting underwriting discounts and commissions and offering expenses payable by us.</w:t>
      </w:r>
    </w:p>
    <w:p>
      <w:pPr>
        <w:spacing w:after="0" w:line="5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Under the terms of the Underwriting Agreement, we granted the Underwriter an option, exercisable for 30 days, to purchase up to an additional 3,634,307 shares of common stock, or, together with the Firm Shares, the Shares, at the same price per share as the Firm Shares. On January 5, 2023, the Underwriter partially exercised its option to purchase an additional 216,294 shares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12, 2022, we entered into an Equity Distribution Agreement, or the Equity Distribution Agreement, with Piper Sandler &amp; Co., or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three months ended March 31, 2023, there were no sales of our common stock under the Equity Distribution Agreement. In connection with entering into the Equity Distribution Agreement, we concurrently terminated, effective August 12, 2022, the Open Market Sale Agreement, dated June 21, 2019, governing our former “at the market offering”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or the Loan and Security Agreement, with SVB. The Loan and Security Agreement provided for an initial term loan of $25.0 million funded at the closing, or the Term A Tranche, with an additional tranche of $25.0 million available if certain funding and clinical milestones were met by August 31, 2022. The SVB Facility and related obligations under the Loan and Security Agreement were secured by substantially all of our properties, rights and assets, except for our intellectual property (which was subject to a negative pledge under the Loan and Security Agreement). In addition, the Loan and Security Agreement contained customary representations, warranties, events of default and covenants. As of March 31, 2023, we were in compliance with all debt covenants, as amended.</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December 28, 2021, we entered into the First Amendment to the Loan and Security Agreement. Under the terms of the First Amendment, the additional tranche, which remained unfunded, was eliminated, leaving only the Term A Tranche, which is referred to as the SVB Facility. The SVB Facility bore interest at a floating rate per annum on the outstanding loans, payable monthly, at the greater of (a) 7.75% and (b) the current published U.S. prime rate, plus a margin of 4.5%. Commencing on September 1, 2022, aggregate outstanding borrowings became repayable in twelve consecutive, equal monthly installments of principal plus accrued interest.</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were due and payable on August 1, 2023. We also owed SVB $1.4 million as a final payment, or the Final Payment.</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Effective March 30, 2023, we entered into a Third Amendment to the Loan and Security Agreement, or the Third Amendment. Under the terms of the Third Amendment, we were no longer required to maintain all of our operating accounts, depository accounts and excess cash with SVB, and were instead only required to maintain a single operating or depository account at Silicon Valley Bank. The Third Amendment also modified the cash collateralization requirement, such that we were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78"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On May 1, 2023, we paid SVB all amounts outstanding under the amended Loan and Security Agreement, comprised of the entire outstanding principal amount under the SVB Facility, all accrued and unpaid interest and the Final Payment. The payment was subject to a prepayment premium of 2.00%.</w:t>
      </w:r>
    </w:p>
    <w:p>
      <w:pPr>
        <w:spacing w:after="0" w:line="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in August 2021, we issued to SVB warrants to purchase (i) up to 432,844 shares of our common stock, in the aggregate, and (ii) up to an additional 432,842 shares of Common Stock, in the aggregate, in the event we achieved certain clinical milestones, in each case at an exercise price per share of $2.22. In connection with our entry into the First Amendment in December 2021, we amended and restated the warrants issued to SVB. As amended and restated, the warrants are for up to 649,615 shares of our common stock, in the aggregate, with an exercise price of $1.16 per share, or the SVB Warrants. The SVB Warrants expire on August 6, 2031.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decrease in cash and cash equivalents for the three months ended March 31,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(9,381 )</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(7,770 )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(23 )</w:t>
            </w:r>
          </w:p>
        </w:tc>
        <w:tc>
          <w:tcPr>
            <w:tcW w:w="98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(6,158 )</w:t>
            </w:r>
          </w:p>
        </w:tc>
        <w:tc>
          <w:tcPr>
            <w:tcW w:w="980" w:type="dxa"/>
            <w:vAlign w:val="bottom"/>
          </w:tcPr>
          <w:p>
            <w:pPr>
              <w:spacing w:after="0"/>
              <w:rPr>
                <w:sz w:val="20"/>
                <w:szCs w:val="20"/>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Cash flows from operating activities are derived by adjusting our net loss for:</w:t>
      </w:r>
    </w:p>
    <w:p>
      <w:pPr>
        <w:spacing w:after="0" w:line="55"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stock-based compensation; and</w:t>
      </w:r>
    </w:p>
    <w:p>
      <w:pPr>
        <w:spacing w:after="0" w:line="116" w:lineRule="exact"/>
        <w:rPr>
          <w:rFonts w:ascii="Times New Roman" w:cs="Times New Roman" w:eastAsia="Times New Roman" w:hAnsi="Times New Roman"/>
          <w:sz w:val="18"/>
          <w:szCs w:val="18"/>
          <w:color w:val="auto"/>
        </w:rPr>
      </w:pPr>
    </w:p>
    <w:p>
      <w:pPr>
        <w:ind w:left="1140" w:right="640" w:hanging="383"/>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5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$9.4 million, as compared to net cash used in operating activities of $7.8 million for the three months ended March 31, 2022. The increase was primarily related to the increase of our net loss by $0.2 million, non-cash adjustments and working capital impacts.</w:t>
      </w:r>
    </w:p>
    <w:p>
      <w:pPr>
        <w:spacing w:after="0" w:line="6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net cash used in operating activities for the three months ended March 31, 2023 was primarily due to our net loss of $10.0 million, adjusted for $2.2 million of non-cash items such as depreciation, stock-based compensation and a decrease in the carrying amount of right-of-use lease assets, a $0.1 million decrease in lease liabilities and a $1.5 million decrease in accrued expenses.</w:t>
      </w:r>
    </w:p>
    <w:p>
      <w:pPr>
        <w:spacing w:after="0" w:line="6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$23 thousand for the three months ended March 31, 2023, compared to $29 thousand for the three months ended March 31, 2022.</w:t>
      </w:r>
    </w:p>
    <w:p>
      <w:pPr>
        <w:spacing w:after="0" w:line="5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was $6.2 million, compared to $0 for the three months ended March 31, 2022. The increase was primarily related to the $6.3 million in repayments of long-term debt, partially offset by $0.1 million in proceeds from the issuance of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March 31, 2023, our accumulated deficit was approximately $890.7 million. Our actual cash requirements may vary materially from those planned because of a number of factors, including:</w:t>
      </w:r>
    </w:p>
    <w:p>
      <w:pPr>
        <w:spacing w:after="0" w:line="55"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focus, direction and pace of our development programs;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technologies and market developments;</w:t>
      </w:r>
    </w:p>
    <w:p>
      <w:pPr>
        <w:spacing w:after="0" w:line="116" w:lineRule="exact"/>
        <w:rPr>
          <w:rFonts w:ascii="Times New Roman" w:cs="Times New Roman" w:eastAsia="Times New Roman" w:hAnsi="Times New Roman"/>
          <w:sz w:val="16"/>
          <w:szCs w:val="16"/>
          <w:color w:val="auto"/>
        </w:rPr>
      </w:pPr>
    </w:p>
    <w:p>
      <w:pPr>
        <w:ind w:left="1140" w:right="540" w:hanging="383"/>
        <w:spacing w:after="0" w:line="281" w:lineRule="auto"/>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progress, timing, costs and results of our TCR-T Library Phase 1/2 Trial for the treatment of certain solid tumors and costs associated with the development of our product candidates;</w:t>
      </w:r>
    </w:p>
    <w:p>
      <w:pPr>
        <w:spacing w:after="0" w:line="54"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headcount growth as we rebuild our workforce with a focus on our TCR program and scaling our manufacturing capabilities;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secure partnering arrangements; and</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filing, prosecuting, defending and enforcing any patent claims and any other intellectual property rights, or other developments.</w:t>
      </w:r>
    </w:p>
    <w:p>
      <w:pPr>
        <w:spacing w:after="0" w:line="11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As of March 31, 2023, we had approximately $37.4 million of cash, cash equivalents and restricted cash. Our restricted cash of $13.9 million related to the amended Loan and Security Agreement, which was fully repaid as of May 1, 2023. Given our current development plans, we anticipate our cash resources will be sufficient to fund our operations into the fourth quarter of 2023. In order to continue our operations beyond our forecasted runway,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Management does not know whether additional financing will be on terms favorable or acceptable to us when needed, if at all. If adequate additional funds are not available when required, or if we are unsuccessful in entering into partnership agreements for further development of our product candidates, management may need to curtail its development efforts and planned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6" w:name="page27"/>
    <w:bookmarkEnd w:id="26"/>
    <w:p>
      <w:pPr>
        <w:ind w:right="180"/>
        <w:spacing w:after="0" w:line="265" w:lineRule="auto"/>
        <w:rPr>
          <w:sz w:val="20"/>
          <w:szCs w:val="20"/>
          <w:color w:val="auto"/>
        </w:rPr>
      </w:pPr>
      <w:r>
        <w:rPr>
          <w:rFonts w:ascii="Times New Roman" w:cs="Times New Roman" w:eastAsia="Times New Roman" w:hAnsi="Times New Roman"/>
          <w:sz w:val="18"/>
          <w:szCs w:val="18"/>
          <w:color w:val="auto"/>
        </w:rPr>
        <w:t>Working capital, which excludes restricted cash, as of March 31, 2023 was $7.2 million, consisting of $24.2 million in current assets and $17.0 million in current liabilities. Working capital as of December 31, 2022 was $15.7 million, consisting of $39.9 million in current assets and $24.2 million in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3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commitments for operating leases relate to laboratory and office space in Houston, Texas and office space in Boston, Massachusetts. On December 21, 2015 and April 15, 2016, we renewed the sublease for our office space in Boston through August 31, 2021. On April 22, 2021, we extended our sublease for a portion of office space at our office in Boston through August 31, 2026.</w:t>
      </w:r>
    </w:p>
    <w:p>
      <w:pPr>
        <w:spacing w:after="0" w:line="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April 2022, we modified our real estate lease agreement executed on December 15, 2020 with MD Anderson. The modification reduced our leased space from 18,111 square feet to 3,228 square feet. As a result, the associated lease liability and right-of-use asset were remeasured to $0.4 million based on revised lease payments.</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June 2022, we executed an agreement to sub-sublease 4,772 square feet of our subleased office space in Boston. The term of the sub-sublease was from July 1, 2022 to June 30, 2025 and provided the sub-subtenant with an option to extend through to July 31, 2026. For the three months ended March 31, 2023, we recognized $43 thousand in lease income, which is classified within other income (expense), net in the condensed statement of operations.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April 2023, we executed an agreement to terminate the lease for our remaining office space in Boston. Under the terms of the lease termination, we were required to pay a $0.2 million termination fee. Additionally, we have been released from our sub-sublease signed in June 2022 as it has been assigned to the Boston office space's landlord in conjunction with the agreement to terminate the lease for the remaining office space.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28, 2019, we entered into a patent license agreement, or the Patent License, with the National Cancer Institute, or the NCI. The terms of the Patent License require us to pay the NCI minimum annual royalties in the amount of $0.3 million, which will be reduced to $0.1 million once the aggregate minimum annual royalties paid by us equals $1.5 million. For the three months ended March 31, 2023 and 2022, we recognized $0.3 million related to royalty payments under the Patent License. As of March 31, 2023, we have paid a total of $0.8 million in minimum annual royalty payments under the Patent License.</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our TCR-T Library Phase 1/2 Trial. In addition, we are required to pay the NCI one-time benchmark payments following aggregate net sales of licensed products at certain aggregate net sales ranging from $250.0 million to $1.0 billion. The aggregate potential amount of these benchmark payments is $12.0 million. No payments were made during the three months ended March 31, 2023 and 2022.</w:t>
      </w:r>
    </w:p>
    <w:p>
      <w:pPr>
        <w:spacing w:after="0" w:line="7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On October 5, 2018, we entered into the License Agreement with PGEN Therapeutics, Inc., or PGEN, a wholly owned subsidiary of Precigen. We refer to PGEN and Precigen together as Precigen. Under the License Agreement, we were obligated to pay Precigen an annual licensing fee of $0.1 million expected to be paid through the term of the License Agreement and we had also agreed to reimburse certain historical costs of Precigen up to $1.0 million.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terms of the License Agreement, we were responsible for contingent milestone payments totaling up to an additional $52.5 million for each exclusively licensed program upon the initiation of later stage clinical trials and upon the approval of exclusively licensed products in various jurisdictions. In addition, we were also required to pay Precigen tiered royalties ranging from low-single digits to high-single digits on the net sales derived from the sale of any approved IL-12 products and CAR products as well as royalties ranging from low-single digits to mid-single digits on the net sales derived from the sales of any approved TCR products, up to a maximum royalty amount of $100.0 million in the aggregate. We were also required to pay Precigen 20% of any sublicensing income received by us relating to the licensed products. We were also responsible for all development costs associated with each of the licensed products. Precigen was required to pay us royalties ranging from low-single digits to mid-single digits on the net sales derived from the sale of Precigen's CAR products, up to a maximum royalty amount of $100.0 million. Pursuant to the A&amp;R License Agreement, all royalty and milestone obligations between us and Precigen have been removed, and annual license payments due to Precigen have been reduced from $100 thousand to $75 thousand. Payment of the licensing fee is scheduled annually in the fourth</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quarter; therefore, in accordance with the terms of the agreement, no amounts were paid during the three months ended March 31, 2023 and 2022.</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June 2022, Solasia Pharma K. K., or Solasia, announced that darinaparsin had been approved from relapsed or refractory Peripheral T-Cell Lymphoma by the Ministry of Health, Labor and Welfare in Japan. During the three months ended March 31, 2023 and 2022, the Company did not record collaboration revenue under the License and Collaboration Agreement, dated March 7, 2011, as amended on July 31, 2014 between Solasia and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2022,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2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As a smaller reporting company, as defined by Rule 12b-2 under the Securities Exchange Act of 1934, as amended, or the Exchange Act, we are not required to provide the information under this item.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accounting officer, has evaluated the effectiveness of our disclosure controls and procedures (as defined in Rules 13a-15(e) or 15d-15(e) under the Exchange Act) as of March 31, 2023.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2023, our principal executive officer and principal accounting officer concluded that, as of such date, our disclosure controls and procedures were effective.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that occurred during the quarter ended March 31, 2023 that have materially affected, or are reasonably likely to materially affect, our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2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7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As of March 31, 2023, based on information readily available, there are no material matters that, in the opinion of management, are likely to result in a material adverse effect on our financial position, results of operations or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financial resources to continue as a going concern and to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three months ended March 31, 2023, we had a net loss of $10.0 million, and, as of March 31, 2023, our accumulated deficit since inception in 2003 was $890.7 million. We expect our operating expenditures and net losses to increase significantly in connection with our ongoing clinical trial and our internal research and development capabilities. Further development of our product candidates will require substantial increases in our expenses as we:</w:t>
      </w:r>
    </w:p>
    <w:p>
      <w:pPr>
        <w:spacing w:after="0" w:line="74"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clinical trials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and scale-out the manufacturing of our TCR-T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highly-skilled and experienced scientific staff.</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2023, we have approximately $37.4 million of cash and cash equivalents, including $13.9 million of restricted cash related to the amended Loan and Security Agreement. Given our current development plans and cash management efforts, we anticipate cash resources will be sufficient to fund operations into the fourth quarter of 2023. We have no committed sources of additional capital at this time. We follow the guidance of Accounting Standards Codification, or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condensed financial statements are issued. 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w:t>
      </w:r>
    </w:p>
    <w:p>
      <w:pPr>
        <w:spacing w:after="0" w:line="7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forecast of cash resources is forward-looking information that involves risks and uncertainties, and our actual cash requirements may vary materially from our current expectations for a number of other factors that may include, but are not limited to, changes in the focus and direction of our development programs, slower and/or faster than expected progress of our research and development efforts, changes in governmental regulation, competitive and technical advances, rising costs associated with the development of our product candidates, our ability to secure partnering arrangements, and costs of filing, prosecuting, defending and enforcing our intellectual property rights. Global political and economic events, including the COVID-19 pandemic and increased inflation, have already resulted in a significant disruption of global financial markets. If the disruption persists and deepens, we could experience 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right="120"/>
        <w:spacing w:after="0" w:line="260" w:lineRule="auto"/>
        <w:rPr>
          <w:sz w:val="20"/>
          <w:szCs w:val="20"/>
          <w:color w:val="auto"/>
        </w:rPr>
      </w:pPr>
      <w:r>
        <w:rPr>
          <w:rFonts w:ascii="Times New Roman" w:cs="Times New Roman" w:eastAsia="Times New Roman" w:hAnsi="Times New Roman"/>
          <w:sz w:val="18"/>
          <w:szCs w:val="18"/>
          <w:color w:val="auto"/>
        </w:rPr>
        <w:t>inability to access additional capital or make the terms of any available financing less attractive, which could in the future negatively affect our operations. If we exhaust our capital reserves more quickly than anticipated, regardless of the reason, and we are unable to obtain additional financing on terms acceptable to us or at all, we may be required to delay, limit, reduce or terminate our product development or future commercialization efforts or grant rights to develop and market product candidates that we would otherwise prefer to develop and market ourselves.</w:t>
      </w:r>
    </w:p>
    <w:p>
      <w:pPr>
        <w:spacing w:after="0" w:line="1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fund our operations. The manner in which we raise any additional funds may affect the value of your investment in our common stock.</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We do not have any committed external source of funds. The unpredictability of the capital markets may severely hinder our ability to raise capital within the time periods needed or on terms we consider acceptable, if at all. In particular, a decline in the market price of our common stock could make it more difficult for us to sell equity or equity-related securities in the future at a time and price that we deem appropriate. Moreover, if we fail to advance one or more of our current product candidates into early or later-stage clinical trials, successfully commercialize one or more of our product candidates, or acquire new product candidates for development, we may have difficulty attracting investors that might otherwise be a source of additional financing.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2021, we entered into the Loan and Security Agreement with SVB. The Loan and Security Agreement provided for an initial term loan of</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$25.0 million funded at the closing, with an additional tranche of $25.0 million available if certain funding and clinical milestones were met by August 31, 2022. In connection with the initial borrowing, we also issued warrants to SVB for the purchase of up to 432,844 shares of our common stock, in the aggregate, at an exercise price of $2.22 per share. Effective December 28, 2021, we entered into the First Amendment to the Loan and Security Agreement to, among other things, eliminate the additional tranche so that the $25.0 million we had drawn down was the full amount available under the SVB Facility. In connection with entering into the Amended Loan and Security Agreement we also amended and restated the warrants. These SVB Warrants provide for the purchase of up to 649,615 shares of our common stock, in the aggregate, with an exercise price of $1.16 per share. On May 1, 2023, we paid SVB all amounts outstanding under the amended Loan and Security Agreement, comprised of the entire outstanding principal amount of the SVB Facility, all accrued and unpaid interest and the Final Payment.</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2"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identify material weaknesses in the future or otherwise fail to maintain an effective system of internal controls, which may result in material misstatements of our condensed financial statements or could have a material adverse effect on our business and trading price of our securities.</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or the Exchange Act, the Sarbanes-Oxley Act of 2002, or the Sarbanes-Oxley Act, and the rules and regulations of the Nasdaq Global Select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7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condensed financial statements will not be prevented or detected on a timely basis.</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condensed financial statements. Furthermore, if we cannot provide reliable financial reports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prevent fraud, our business and results of operations could be harmed and investors could lose confidence in our reported financial information.</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plans to develop and commercialize non-viral adoptive TCR-T cell therapies can be considered a new approach to cancer treatment, the successful development of which is subject to significant challenges.</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are employing technologies such as the technology licensed from MD Anderson pursuant to the MD Anderson License described above, from Precigen, pursuant to the A&amp;R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subjects us to a number of challenges, including:</w:t>
      </w:r>
    </w:p>
    <w:p>
      <w:pPr>
        <w:spacing w:after="0" w:line="74" w:lineRule="exact"/>
        <w:rPr>
          <w:sz w:val="20"/>
          <w:szCs w:val="20"/>
          <w:color w:val="auto"/>
        </w:rPr>
      </w:pPr>
    </w:p>
    <w:p>
      <w:pPr>
        <w:ind w:left="760" w:right="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the patient or third parties that can be administered to the patient;</w:t>
      </w:r>
    </w:p>
    <w:p>
      <w:pPr>
        <w:spacing w:after="0" w:line="116"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T-cells ex vivo and infusing the T cells back into the patient;</w:t>
      </w:r>
    </w:p>
    <w:p>
      <w:pPr>
        <w:spacing w:after="0" w:line="54" w:lineRule="exact"/>
        <w:rPr>
          <w:rFonts w:ascii="Times New Roman" w:cs="Times New Roman" w:eastAsia="Times New Roman" w:hAnsi="Times New Roman"/>
          <w:sz w:val="18"/>
          <w:szCs w:val="18"/>
          <w:color w:val="auto"/>
        </w:rPr>
      </w:pPr>
    </w:p>
    <w:p>
      <w:pPr>
        <w:ind w:left="760" w:right="44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delivery of the potential products, which may increase the risk of adverse side effects of the chemotherapy itself or of the potential products;</w:t>
      </w:r>
    </w:p>
    <w:p>
      <w:pPr>
        <w:spacing w:after="0" w:line="54"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 and</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w:t>
      </w:r>
    </w:p>
    <w:p>
      <w:pPr>
        <w:spacing w:after="0" w:line="5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address these challenges, which could prevent us from achieving our research, development and commercialization goals.</w:t>
      </w:r>
    </w:p>
    <w:p>
      <w:pPr>
        <w:spacing w:after="0" w:line="15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genetically modified TCR-T cell product candidates are supported by limited clinical data, some of which has been generated through trials conducted by MD Anderson and the NCI, rather than solely by us. We have assumed control of the overall clinical and regulatory development of our TCR-T cell product candidates, and any failure to obtain, or delays in obtaining, sponsorship of new INDs, or in filing INDs sponsored by us for these or any other product candidates we decide to advance could negatively affect the timing of our potential future clinical trials. Such an impact on timing could increase research and process development costs and could delay or prevent obtaining regulatory approval for our product candidates, either of which could have a material adverse effect on our business. We began enrolling patients in our TCR-T Library Phase 1/2 Trial in January 2022.</w:t>
      </w:r>
    </w:p>
    <w:p>
      <w:pPr>
        <w:spacing w:after="0" w:line="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Further, we did not control the design or conduct of all of the previous trials. It is possible that the FDA will not accept these previous trials as providing adequate support for future clinical trials, whether controlled by us or third parties, for any of one or more reasons, including the safety, purity and potency of the product candidate, the degree of product characterization, elements of the design or</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spacing w:after="0" w:line="260" w:lineRule="auto"/>
        <w:rPr>
          <w:sz w:val="20"/>
          <w:szCs w:val="20"/>
          <w:color w:val="auto"/>
        </w:rPr>
      </w:pPr>
      <w:r>
        <w:rPr>
          <w:rFonts w:ascii="Times New Roman" w:cs="Times New Roman" w:eastAsia="Times New Roman" w:hAnsi="Times New Roman"/>
          <w:sz w:val="18"/>
          <w:szCs w:val="18"/>
          <w:color w:val="auto"/>
        </w:rPr>
        <w:t>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MD Anderson or other entities, which will be expensive and delay the submission and licensure or other regulatory approvals with respect to any of our product candidates.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there are a number of regulatory requirements that we must continue to satisfy as we conduct our clinical trials of TCR-T cell product candidates in the United States. The criteria these regulators use to determine the safety and efficacy of a product candidate vary substantially according to the type, complexity, novelty and intended use and market of the potential products and change frequently. Satisfaction of these requirements will entail substantial time, effort and financial resources. To date, the FDA has approved only a few adoptive cell therapies for commercialization. Because adoptive cell therapies are relatively new and our product candidates employ novel gene expression and cell technologies, regulatory agencies may lack experience in evaluating product candidates like our Library TCR-T product candidates. This novelty may heighten regulatory scrutiny of our therapies or lengthen the regulatory review process, including the time it takes for the FDA to review our IND applications if and when submitted, increase our development costs and delay or prevent commercialization of our product candidates. These factors make it difficult to determine how long it will take or how much it will cost to obtain regulatory approvals for our product candidates. Any time, effort and financial resources we expend on our clinical product candidates and other early-stage product development programs that are ultimately not successful may adversely affect our business.</w:t>
      </w:r>
    </w:p>
    <w:p>
      <w:pPr>
        <w:spacing w:after="0" w:line="1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report interim data on certain of our clinical trials and we cannot assure you that interim data will be predictive of either future interim results or final study results. In addition, the results ultimately obtained from our preclinical studies or other earlier clinical trials for our product candidates may not be predictive of future results.</w:t>
      </w:r>
    </w:p>
    <w:p>
      <w:pPr>
        <w:spacing w:after="0" w:line="6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part of our business, we provide updates related to the development of our product candidates, which may include updates related to interim clinical trial data. We anticipate that our clinical trials will involve small patient populations and because of the small sample size, the interim results of these, and all, clinical trials may be subject to substantial variability and may not be indicative of either future interim results or final results.</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commenced enrollment in our TCR-T Library Phase 1/2 Trial in January 2022 and announced early clinical data for the first patient in September 2022 and for the first two patients in November 2022. The first two patients enrolled in our TCR-T Library Phase 1/2 Trial have been removed from the trial due to subsequent disease progression. We do not know at this stage whether patient response data from additional patients in this trial will be favorable, and initial success in clinical trials may not be indicative of results obtained when such trials are completed. Our product candidates may fail to show the desired safety and efficacy in clinical development, and we cannot assure you that the results of any future trials will demonstrate the value and efficacy of our product candidates. Even if our clinical trials are completed as planned, we cannot be certain that their results will support approval of our product candidates.</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are no approved engineered TCR-T cell immunotherapies for solid tumors. We believe our product candidates may be effective against certain solid tumors and plan to develop product candidates for use in those certain solid tumors. We cannot guarantee that our product candidates will be able to access the solid tumor or show any functionality in the solid tumor microenvironment. The cellular environment in which solid tumor cells thrive is generally hostile to T cells due to factors such as the presence of immunosuppressive cells, humoral factors and limited access to nutrients. In addition, the safety profile of our product candidates may differ in a solid tumor setting. If we are unable to make our product candidates function in solid tumors, our development plans and business will be significantly harmed.</w:t>
      </w:r>
    </w:p>
    <w:p>
      <w:pPr>
        <w:spacing w:after="0" w:line="78"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Preliminary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6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addition, the results of any preclinical studies for our product candidates may not be predictive of the results of clinical trials. For example, preclinical models as applied to cell therapy in oncology do not adequately represent the clinical setting, and thus cannot predict clinical activity nor all potential risks.</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recruit, hire and retain qualified personnel and we will continue to rely on key scientific and medical advisors, and their knowledge of our business and technical expertise would be difficult to replace.</w:t>
      </w:r>
    </w:p>
    <w:p>
      <w:pPr>
        <w:spacing w:after="0" w:line="5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commercial, scientific, manufacturing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2" w:name="page33"/>
    <w:bookmarkEnd w:id="32"/>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We are highly dependent on our principal scientific, regulatory and medical advisors. The loss of any of our key personnel could result in delays in product development, loss of key personnel or partnerships and diversion of management resources, which could adversely affect our operating results. We do not carry “key person” life insurance policies on any of our officers or key employees.</w:t>
      </w:r>
    </w:p>
    <w:p>
      <w:pPr>
        <w:spacing w:after="0" w:line="17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biopharmaceutical companies, which may result in others discovering, developing or commercializing products before, or more successfully than, we do.</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2Seventy Bio, Achilles Therapeutics, Annoca, Adaptimmune Therapeutics, Affini-T Therapeutics, ArsenalBio, Athenex, BioNTech, Bristol-Myers Squibb, Immatics, Iovance Biotherapeutics, Kite (a Gilead company), Lion TCR, Lyell Immunopharma, Medigene, Neogene Therapeutics (a member of the AstraZeneca group), NexImmune, Nurix Therapeutics, PACT Pharma, Precigen, Tactiva Therapeutics, Takara Bio, T-Cure BioScience, T-knife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Companies in the T-cell therapy segment that we believe to have target discovery platforms like ours include Adaptive Biotechnologies, Affini-T Therapeutics, Enara Bio, Immatics, Neogene Therapeutics (a member of the AstraZeneca group), PACT Pharma,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TScan Therapeutics and several companies developing CRISPR technology, including Captain T Cell and Crispr Therapeutics.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and Precision Biosciences,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non-cellular treatments offered by other companies such as Amgen, AstraZeneca, Bristol-Myers Squibb, Immatics, Immunocore, Incyte, Merck, Mirati and Roche.</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Even if we obtain regulatory approval of potential TCR products, we may not be the first to market and that may affect the price or demand for our potential products. Existing or future competing products may provide greater therapeutic convenience or clinical or other benefits for a specific indication, or fewer side effects, than our potential products or may offer comparable performance at a lower cost. Additionally, the availability and price of our competitors’ products could limit the demand and the price we are able to charge for our potential products, thereby reducing or eliminating our commercial opportunity. We may not be able to implement our business plan if the acceptance of our potential products is inhibited by price competition or the reluctance of physicians to switch from existing methods of treatment to our potential products, or if physicians switch to other new drug or biologic products or choose to reserve our potential products. Additionally, a competitor could obtain orphan product exclusivity from the FDA with respect to such competitor’s product. If such competitor product is determined to be the same product as one of our potential products, that may prevent us from obtaining approval from the FDA for such potential products for the same indication for seven years, except in limited circumstances. If our potential products fail to capture and maintain market share, we may not achieve sufficient product revenues and our business will suffer.</w:t>
      </w:r>
    </w:p>
    <w:p>
      <w:pPr>
        <w:spacing w:after="0" w:line="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Many of these competitors have products already approved or in development. In addition,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74"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 and biopharmaceuticals;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drugs and biopharmaceuticals;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 biopharmaceuticals;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 and biopharmaceuticals.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may be affected in many cases by insurers or other third-party payors seeking to encourage the use of generic products.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3" w:name="page34"/>
    <w:bookmarkEnd w:id="33"/>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Precigen,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that are licensed from others, particularly MD Anderson, Precigen and the NCI, as well as the contributions by MD Anderson under our research and development agreements. Any termination of these licenses or research and development agreements could result in the loss of significant rights and could harm our ability to commercialize our product candidates. Disputes may also arise between us and these licensors regarding intellectual property subject to a license agreement, including those relating to:</w:t>
      </w:r>
    </w:p>
    <w:p>
      <w:pPr>
        <w:spacing w:after="0" w:line="74"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Precigen, MD Anderson, the NCI and our other licensors, infringe intellectual property of the licensor that is not subject to the applicable license agreement;</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16" w:lineRule="exact"/>
        <w:rPr>
          <w:rFonts w:ascii="Times New Roman" w:cs="Times New Roman" w:eastAsia="Times New Roman" w:hAnsi="Times New Roman"/>
          <w:sz w:val="18"/>
          <w:szCs w:val="18"/>
          <w:color w:val="auto"/>
        </w:rPr>
      </w:pPr>
    </w:p>
    <w:p>
      <w:pPr>
        <w:ind w:left="760" w:right="26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obligations with respect to the use of the licensed technology in relation to our development and commercialization of our potential products under the MD Anderson License, the A&amp;R License Agreement and our patent license agreement with the NCI;</w:t>
      </w:r>
    </w:p>
    <w:p>
      <w:pPr>
        <w:spacing w:after="0" w:line="69" w:lineRule="exact"/>
        <w:rPr>
          <w:rFonts w:ascii="Times New Roman" w:cs="Times New Roman" w:eastAsia="Times New Roman" w:hAnsi="Times New Roman"/>
          <w:sz w:val="18"/>
          <w:szCs w:val="18"/>
          <w:color w:val="auto"/>
        </w:rPr>
      </w:pPr>
    </w:p>
    <w:p>
      <w:pPr>
        <w:ind w:left="760" w:right="38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54"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Precigen and the NCI, on acceptable terms, we may be unable to successfully develop and commercialize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commercialize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which adds uncertainty to the possibility of challenge to our or our licensors’ patents in the future.</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Precigen by MD Anderson or the rights licensed to us by the National Cancer Institute to technologies relating to TCR-T cell therapies and other related technologies.</w:t>
      </w:r>
    </w:p>
    <w:p>
      <w:pPr>
        <w:spacing w:after="0" w:line="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MD Anderson License, we, together with Precigen,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Precigen's technology suite and licensed to us by Precigen,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Precigen shall then have a fully-paid up, royalty free, perpetual, irrevocable and sublicensable license to use the licensed intellectual property thereunder.</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 requirements in such funding agreement or contract, as applicable. MD Anderson may also terminate the agreement with written notice upon material breach by us or Precigen, if such breach has not been cured within 60 days of receiving such notice. In addition, the MD Anderson License will terminate upon the occurrence of certain insolvency events for both us or Precigen and may be terminated by the mutual written agreement of us, Precigen and MD Anderson.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t>Under the Patent License, we received an exclusive, worldwide license to certain intellectual property and patents from the NCI for TCRs we can introduce into T cells using transposon-based genetic engineering. These T cells may be used in our TCR-T Library Phase 1/2 Trial or in subsequent clinical trials, if initiated. The term of the Patent License shall expire with the last of the licensed patents. The NCI could terminate or modify the Patent License if it believes we have materially breached the Patent License, including by failing to meet the defined milestones by the required dates, and have not cured such breach within 90 days of receiving notice of such alleged breach. The NCI may also terminate the Patent License immediately upon our receipt of written notice of certain insolvency events.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8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partly reliant on the National Cancer Institute for research and development and early clinical testing of certain of our product candidates.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 portion of our research and development is being conducted by the NCI under the CRADA entered into in January 2017 and which was amended in March 2018, February 2019, March 2022 and June 2022. Under the CRADA, the NCI, with Dr. Steven A. Rosenberg as the principal investigator, is responsible for conducting a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We have limited control over the nature or timing of the NCI’s clinical trial and limited visibility into their day-to-day activities, including with respect to how they are providing and administering T-cell therapy. For example, the research we are funding constitutes only a small portion of the NCI’s overall research. Additionally, other research being conducted by Dr. Rosenberg may at times receive higher priority than research on our program. The progress and timeline, including the timeline for dosing patients, for this trial are under the control of the NCI.</w:t>
      </w:r>
    </w:p>
    <w:p>
      <w:pPr>
        <w:spacing w:after="0" w:line="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 If the NCI deprioritizes the work they are doing with us or otherwise limits their cooperation with us, our business may be negatively impacted.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commercialize any products, generate significant revenues, or attain profitability.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The successful commercialization of any product candidates will require us to perform a variety of functions, including:</w:t>
      </w:r>
    </w:p>
    <w:p>
      <w:pPr>
        <w:spacing w:after="0" w:line="6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1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7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development and commercialization collaborations, which failure could adversely affect, and potentially prohibit, our ability to develop our product candidates.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and complementary technologies, conducting clinical trials, obtaining marketing approval, establishing manufacturing capabilities and marketing approved products is expensive, and therefore, we anticipate exploring collaborations with third parties that have alternative technologies, more resources and more experience than we do. In situations where we enter into a development and commercial collaboration arrangement for a product candidate or complementary technology, we may also seek to establish additional collaborations for development and commercialization in territories outside of those addressed by the first collaboration arrangement for such product candidate or technology.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as we expand our development and regulatory capabilities, which could disrupt our operations.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advance our product candidates to the point of, and through, clinical trials, we will need to expand our development, regulatory, manufacturing, marketing and sales capabilities or contract with third parties to provide for these capabilities. Our future financial performance and our ability to commercialize our product candidates and to compete effectively will depend, in part, on our ability to manage any future growth effectively. To manage this growth, we must expand our facilities, augment our operational, financial and management systems and hire and train additional qualified personnel with expertise in preclinical and clinical research and testing, manufacturing, government regulation and eventually sales and marketing.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subject us to the risk of liability claims associated with the use of hazardous materials and chemicals.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contract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 Our ability to manufacture clinical supplies of our product candidates could be disrupted if our own operations or those of our suppliers are affected by a man-made or natural disaster or other business interruption. We may have limited recourse against third parties if the non-compliance is due to factors outside of the manufacturer’s control.</w:t>
      </w:r>
    </w:p>
    <w:p>
      <w:pPr>
        <w:spacing w:after="0" w:line="1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on the manufacturing, clinical trial and other business activities performed by us or by third parties with whom we conduct business, including our contract manufacturers, CROs, shippers and others.</w:t>
      </w:r>
    </w:p>
    <w:p>
      <w:pPr>
        <w:spacing w:after="0" w:line="6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our manufacturing operations or the operations of third-party manufacturers, CROs and other third parties upon whom we rely or may rely on in the future.</w:t>
      </w:r>
    </w:p>
    <w:p>
      <w:pPr>
        <w:spacing w:after="0" w:line="6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depend on a worldwide supply chain to manufacture products used in our preclinical studies and clinical trials. Quarantines, shelter-in-place and similar government orders, or the expectation that such orders, shutdowns or other restrictions could occur, whether related to COVID-19 or other infectious diseases, could impact personnel at our own manufacturing facilities or third-party manufacturing facilities in the United States and other countries, or the availability or cost of materials, which could disrupt our supply chain.</w:t>
      </w:r>
    </w:p>
    <w:p>
      <w:pPr>
        <w:spacing w:after="0" w:line="7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management’s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6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our preclinical studies and our ongoing TCR-T Library Phase 1/2 Trial at MD Anderson have been and may continue to be affected by the COVID-19 pandemic. Clinical site initiation, patient enrollment and activities that require visits to clinical sites, including data monitoring, have been and may continue to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if we are unable to successfully recruit and retain patients, principal investigators, and site staff who, as healthcare providers, may have heightened exposure to COVID-19 or experience additional restrictions by their institutions, city, or state, our clinical trial operations could be adversely impacted.</w:t>
      </w:r>
    </w:p>
    <w:p>
      <w:pPr>
        <w:spacing w:after="0" w:line="18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Unauthorized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right="40"/>
        <w:spacing w:after="0" w:line="254" w:lineRule="auto"/>
        <w:rPr>
          <w:sz w:val="20"/>
          <w:szCs w:val="20"/>
          <w:color w:val="auto"/>
        </w:rPr>
      </w:pPr>
      <w:r>
        <w:rPr>
          <w:rFonts w:ascii="Times New Roman" w:cs="Times New Roman" w:eastAsia="Times New Roman" w:hAnsi="Times New Roman"/>
          <w:sz w:val="18"/>
          <w:szCs w:val="18"/>
          <w:color w:val="auto"/>
        </w:rPr>
        <w:t>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our business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8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and May of 2023, Silicon Valley Bank was closed by the California Department of Financial Protection and Innovation, Signature Bank was closed by New York’s Department of Financial Services and First Republic Bank was closed by the California Department of Financial Protection and Innovation, and in each case the Federal Deposit Insurance Corporation was appointed as receiver.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or the perceived risk of a failure to raise the statutory debt limit of the United States could have an adverse effect on our business, financial condition and results of operations.</w:t>
      </w:r>
    </w:p>
    <w:p>
      <w:pPr>
        <w:spacing w:after="0" w:line="50"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U.S. government reached its debt limit of $31.4 trillion in January 2023. Since then, the U.S. Department of Treasury implemented extraordinary measures to prevent default.</w:t>
      </w:r>
    </w:p>
    <w:p>
      <w:pPr>
        <w:spacing w:after="0" w:line="2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unclear if Congress and the President will reach an agreement to increase the U.S. government’s debt limit in a timely manner. The political stalemate over legislation to fund U.S. government operations and raise the U.S. government’s debt limit may increase the possibility of a default by the U.S. government on its debt obligations and related credit-rating downgrades. This creates uncertainty in the U.S. financial markets, domestic political conditions and interest rates which could have an adverse impact on our business and financial condition. Any disruption to the financial markets or an increase in interest rates may negatively impact our ability to raise capital within the time periods needed or on terms we consider acceptable, if at all. If the United States is unable to increase the U.S. government’s debt limit in a timely manner, the U.S. federal government, including agencies like the FDA, could shut down for a period of time and the United States could default or delay on payment of its obligations or both, which could have an adverse impact on financial markets and economic conditions in the United States and worldwide and an adverse effect on our business, financial condition and results of operations. Any government shutdown may delay our clinical development plans and increase costs related to funding and clinical development.</w:t>
      </w:r>
    </w:p>
    <w:p>
      <w:pPr>
        <w:spacing w:after="0" w:line="39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have experienced, and may continue to experience, difficulties in patient enrollment in our ongoing TCR-T Library Phase 1/2 Trial and any future clinical trials for a variety of reasons, including impacts that have resulted or may result from the COVID-19 pandemic. The timely completion of clinical trials in accordance with their protocols depends on, among other things, our ability 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enroll a sufficient number of patients who remain in the clinical trial until its conclusion. The enrollment of patients depends on many factors, including:</w:t>
      </w:r>
    </w:p>
    <w:p>
      <w:pPr>
        <w:spacing w:after="0" w:line="11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insurance approvals of trial participation; and</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our clinical trial is in, and our future clinical trials may be in, patients with relapsed/refractory cancer, the patients are typically in the late stages of their disease and may experience disease progression independent from our product candidates, making them unevaluable for purposes of the clinical trial, which would require additional patient enrollment.</w:t>
      </w:r>
    </w:p>
    <w:p>
      <w:pPr>
        <w:spacing w:after="0" w:line="8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3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and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w:t>
      </w:r>
    </w:p>
    <w:p>
      <w:pPr>
        <w:spacing w:after="0" w:line="116" w:lineRule="exact"/>
        <w:rPr>
          <w:rFonts w:ascii="Times New Roman" w:cs="Times New Roman" w:eastAsia="Times New Roman" w:hAnsi="Times New Roman"/>
          <w:sz w:val="18"/>
          <w:szCs w:val="18"/>
          <w:color w:val="auto"/>
        </w:rPr>
      </w:pPr>
    </w:p>
    <w:p>
      <w:pPr>
        <w:ind w:left="760" w:right="68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left="760" w:right="60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54" w:lineRule="exact"/>
        <w:rPr>
          <w:rFonts w:ascii="Times New Roman" w:cs="Times New Roman" w:eastAsia="Times New Roman" w:hAnsi="Times New Roman"/>
          <w:sz w:val="18"/>
          <w:szCs w:val="18"/>
          <w:color w:val="auto"/>
        </w:rPr>
      </w:pPr>
    </w:p>
    <w:p>
      <w:pPr>
        <w:ind w:left="760" w:right="32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product candidate is safe and effective, and that the therapeutic product candidate’s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760" w:right="200" w:hanging="378"/>
        <w:spacing w:after="0" w:line="265"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New Drug Application, premarket approval, or PMA, or other submission or to obtain regulatory approval in the United States or elsewhere, and such authorities may impose requirements for additional preclinical studies or clinical trials;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16"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54"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54" w:lineRule="exact"/>
        <w:rPr>
          <w:rFonts w:ascii="Times New Roman" w:cs="Times New Roman" w:eastAsia="Times New Roman" w:hAnsi="Times New Roman"/>
          <w:sz w:val="18"/>
          <w:szCs w:val="18"/>
          <w:color w:val="auto"/>
        </w:rPr>
      </w:pPr>
    </w:p>
    <w:p>
      <w:pPr>
        <w:ind w:left="760" w:right="7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17"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regulatory approval of our product candidates, regulatory authorities may approve any of our product candidates for fewer or more limited indications than we request and may impose significant limitations in the form of narrow indications, warnings, or a Risk Evaluation and Mitigation Strategy, or REMS.</w:t>
      </w:r>
    </w:p>
    <w:p>
      <w:pPr>
        <w:spacing w:after="0" w:line="5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7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Our most advanced product candidates are only in an early-stage clinical trial, which is very expensive and time-consuming. We cannot be certain when we will be able to submit a BLA to the FDA and any failure or delay in completing clinical trials for our product candidates could harm our business.</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 various stages of development and require extensive clinical testing. Our most advanced product candidates are in our TCR-T Library Phase 1/2 Trial, which is currently enrolling and dosing patients. Human clinical trials are very expensive and difficult to design, initiate and implement, in part because they are subject to rigorous regulatory requirements. Notwithstanding our current clinical trial plans for each of our existing product candidates, which we estimate will take several years to complete, we may not be able to commence additional trials or see results from these trials within our anticipated timelines. Failure can occur at any stage of a clinical trial, and we can encounter problems that cause us to delay the start of, abandon or repeat clinical trials. Some factors which may lead to a delay in the commencement or completion of our clinical trials include: requests for additional nonclinical data from regulators, unforeseen safety issues, dosing issues, lack of effectiveness during clinical trials, difficulty recruiting or monitoring patients, or difficulty manufacturing clinical products, among other factors.</w:t>
      </w:r>
    </w:p>
    <w:p>
      <w:pPr>
        <w:spacing w:after="0" w:line="8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As they enter later stages of development, our product candidates generally will become subject to more stringent regulatory requirements, including the FDA’s requirements for chemistry, manufacturing and controls for product candidates entering Phase 3 clinical trials. There is no guarantee the FDA will allow us to commence Phase 3 clinical trials for product candidates studied in earlier clinical trials.</w:t>
      </w:r>
    </w:p>
    <w:p>
      <w:pPr>
        <w:spacing w:after="0" w:line="6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our ability to further develop, or seek approval for,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right="100"/>
        <w:spacing w:after="0" w:line="260" w:lineRule="auto"/>
        <w:rPr>
          <w:sz w:val="20"/>
          <w:szCs w:val="20"/>
          <w:color w:val="auto"/>
        </w:rPr>
      </w:pPr>
      <w:r>
        <w:rPr>
          <w:rFonts w:ascii="Times New Roman" w:cs="Times New Roman" w:eastAsia="Times New Roman" w:hAnsi="Times New Roman"/>
          <w:sz w:val="18"/>
          <w:szCs w:val="18"/>
          <w:color w:val="auto"/>
        </w:rPr>
        <w:t>such product candidates may be materially impacted. As such, we cannot predict with any certainty if or when we might submit a BLA for regulatory approval of our product candidates or whether such a BLA will be accepted. Because we do not anticipate generating significant revenues unless and until we submit one or more BLAs and thereafter obtain requisite FDA approvals, the timing of our BLA submissions and FDA determinations regarding approval thereof will directly affect if and when we are able to generate significant revenues.</w:t>
      </w:r>
    </w:p>
    <w:p>
      <w:pPr>
        <w:spacing w:after="0" w:line="17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The FDA or other foreign regulatory authorities could order us to cease further development of or deny approval of our product candidates for any or all targeted indications. If a serious adverse event were to occur in our TCR-T Library Phase 1/2 Trial, the FDA may place a hold on the clinical trial.</w:t>
      </w:r>
    </w:p>
    <w:p>
      <w:pPr>
        <w:spacing w:after="0" w:line="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We expect to have to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 candidates, a number of potentially significant negative consequences could result, including:</w:t>
      </w:r>
    </w:p>
    <w:p>
      <w:pPr>
        <w:spacing w:after="0" w:line="78"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16"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cellular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including DNA plasmids, which are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some of these suppliers and may not be able to obtain supply contracts with them on acceptable terms or at all. Accordingly, we may experience delays in receiving key materials and equipment to support clinical or commercial manufacturing.</w:t>
      </w:r>
    </w:p>
    <w:p>
      <w:pPr>
        <w:spacing w:after="0" w:line="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For some of these reagents, equipment, infrastructure, and materials, we rely and may in the future rely on sole source vendors or a limited number of vendors. An inability to continue to source product from any of these suppliers, or source product on commercially reasonable terms, which could be due to, among other things, regulatory actions or requirements affecting the supplier, adverse financial or other strategic developments experienced by a supplier, labor disputes or shortages, unexpected demands, supply chain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1" w:name="page42"/>
    <w:bookmarkEnd w:id="41"/>
    <w:p>
      <w:pPr>
        <w:ind w:right="360"/>
        <w:spacing w:after="0" w:line="281" w:lineRule="auto"/>
        <w:rPr>
          <w:sz w:val="20"/>
          <w:szCs w:val="20"/>
          <w:color w:val="auto"/>
        </w:rPr>
      </w:pPr>
      <w:r>
        <w:rPr>
          <w:rFonts w:ascii="Times New Roman" w:cs="Times New Roman" w:eastAsia="Times New Roman" w:hAnsi="Times New Roman"/>
          <w:sz w:val="18"/>
          <w:szCs w:val="18"/>
          <w:color w:val="auto"/>
        </w:rPr>
        <w:t>issues or quality issues, could adversely affect our ability to satisfy demand for our product candidates, which could adversely and materially affect our ability to conduct clinical trials, which could significantly harm our business.</w:t>
      </w:r>
    </w:p>
    <w:p>
      <w:pPr>
        <w:spacing w:after="0" w:line="5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addition, some of the reagents and products used by us may be stored at a single vendor. The loss of materials located at a single vendor, or the failure of such a vendor to manufacture clinical product in accordance with our specifications, would impact our ability to conduct ongoing or planned clinical trials and continue the development of our products. Further, manufacturing replacement material may be expensive and require a significant amount of time, which may further impact our clinical programs.</w:t>
      </w:r>
    </w:p>
    <w:p>
      <w:pPr>
        <w:spacing w:after="0" w:line="7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at least in part, upon clinical research institutions and other CROs for clinical testing and/or for research and development activities, the results of our clinical trials and such research activities are, to a certain extent, beyond our control.</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materially rely upon independent investigators and collaborators, such as universities and medical institutions, to conduct our clinical trials under agreements with us. In addition, we hire CROs to help us manage clinical trials, collect data and analyze clinical samples.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 development programs, or if their performance is substandard, the approval of our FDA applications, if any, and our introduction of new products, if any, will be delayed. These institutions may also have, or implement in the future, policies and procedures that limit their ability to advance our programs. These collaborators may also have relationships with other commercial entities, some of whom may compete with us. If our collaborators assist our competitors to our detriment, our competitive position would be harmed.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our clinical trials.</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In 2021, we began manufacturing our product candidates at our in-house current good manufacturing practices, or cGMP, manufacturing facility at our leased headquarters in Houston, Texas. Our ability to manufacture our product candidates depends on our hiring and retaining personnel with the appropriate background and training to staff and operate the facility on a daily basis. Should we be unable to hire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Although we have developed our own manufacturing processes using an in-house team, there is timing risk associated with increased in-house product manufacture.</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 We recently amended our clinical trial IND to use cryopreservation-based storage of clinical products. This process is new and we may experience manufacturing failures or difficulties producing sufficient quantities of our clinical products as a result of this change.</w:t>
      </w:r>
    </w:p>
    <w:p>
      <w:pPr>
        <w:spacing w:after="0" w:line="7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product candidates currently are and will continue to be manufactured on a patient-by-patient basis. Delays in manufacturing could adversely impact the treatment of each patient and may discourage participation in our current or future clinical trials. We have not yet manufactured our clinical trial product candidates on a large scale and may not be able to achieve large scale clinical trial or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commercial manufacturing and processing on our own to satisfy expected clinical trial or commercial demands for any of our product candidates. While we believe that our current manufacturing and processing approaches are appropriate to support our early-stage clinical product development, we have limited experience in managing the T cell engineering process, and our processes may be more difficult or more expensive than anticipated. The manufacturing processes employed by us may not result in product candidates that will be safe and effective. If we are unable to manufacture sufficient number of TCR-T cells for our product candidates, our development efforts would be delayed, which would adversely affect our business and prospects.</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manufacturing operations are subject to review and oversight by the FDA. We are subject to ongoing periodic unannounced inspection by the FDA, the Drug Enforcement Administration and corresponding state agencies to ensure strict compliance with cGMP and other government regulations. Our license to manufacture product candidates is subject to continued regulatory review.</w:t>
      </w:r>
    </w:p>
    <w:p>
      <w:pPr>
        <w:spacing w:after="0" w:line="6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6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17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w:t>
      </w:r>
    </w:p>
    <w:p>
      <w:pPr>
        <w:spacing w:after="0" w:line="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preclinical development work came from healthy donors. As we work with white blood cells taken from our patient population, we may encounter unforeseen difficulties due to starting with material from donors who are not healthy, including challenges inherent in harvesting white blood cells from unhealthy patients.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believe our current manufacturing process is scalable for our clinical development and commercialization, if any of our product candidates are approved or commercialized, we may encounter challenges in validating our process due to the heterogeneity of the product starting material. However, we anticipate that during the early phases of our clinical trials we will be able to adapt our process to account for these differences, resulting in a more robust process. We cannot guarantee that any other issues relating to the heterogeneity of the starting material will not impact our ability to commercially manufacturing our product candidates.</w:t>
      </w:r>
    </w:p>
    <w:p>
      <w:pPr>
        <w:spacing w:after="0" w:line="1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TCR-T cells are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you that it will not occur in any of our ongoing or planned clinical trials. There is also the potential risk of delayed adverse events following exposure to gene therapy products due to persistent biological activity of the genetic material or other components of the vectors used to carry the genetic material. Although we use non-viral vectors, the FDA has stated that lentiviral vectors possess characteristics that may pose high risks of delayed adverse events. If any such adverse events occur from our non-viral vector, further advancement of our preclinical studies or clinical trials could be halted or delayed, which would have a material adverse effect on our business and operations.</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ind w:right="180"/>
        <w:spacing w:after="0" w:line="265" w:lineRule="auto"/>
        <w:rPr>
          <w:sz w:val="20"/>
          <w:szCs w:val="20"/>
          <w:color w:val="auto"/>
        </w:rPr>
      </w:pPr>
      <w:r>
        <w:rPr>
          <w:rFonts w:ascii="Times New Roman" w:cs="Times New Roman" w:eastAsia="Times New Roman" w:hAnsi="Times New Roman"/>
          <w:sz w:val="18"/>
          <w:szCs w:val="18"/>
          <w:color w:val="auto"/>
        </w:rPr>
        <w:t>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9"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55"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the necessary U.S. or worldwide regulatory approvals to commercialize any product candidate, our business will suffer.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studies and clinical trials or to perform post-marketing studies. The approval process may also be delayed by changes in government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4" w:name="page45"/>
    <w:bookmarkEnd w:id="44"/>
    <w:p>
      <w:pPr>
        <w:ind w:right="380"/>
        <w:spacing w:after="0" w:line="281" w:lineRule="auto"/>
        <w:rPr>
          <w:sz w:val="20"/>
          <w:szCs w:val="20"/>
          <w:color w:val="auto"/>
        </w:rPr>
      </w:pPr>
      <w:r>
        <w:rPr>
          <w:rFonts w:ascii="Times New Roman" w:cs="Times New Roman" w:eastAsia="Times New Roman" w:hAnsi="Times New Roman"/>
          <w:sz w:val="18"/>
          <w:szCs w:val="18"/>
          <w:color w:val="auto"/>
        </w:rPr>
        <w:t>regulation, future legislation or administrative action or changes in FDA policy that occur prior to or during our regulatory review. Delays in obtaining regulatory approvals may:</w:t>
      </w:r>
    </w:p>
    <w:p>
      <w:pPr>
        <w:spacing w:after="0" w:line="5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17"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74"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3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current or future product candidates, we anticipate allocating resources to the marketing, sales and distribution of our proposed products in North America and in certain other geographies;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 candidates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8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4"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17"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Because we expect sales of our current product candidates, if approved, to generate substantially all of our product revenues for the foreseeable future, the failure of a product to find market acceptance would harm our business and could require us to seek additional financing in order to fund the development of future product candidates.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would require us to provide scientific and clinical support for the use of our products to each payor separately, with no assurance that approval will be obtained. If we are unable to obtain coverage of and adequate payment levels for our product candidates, if approved,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or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Subsequently, for those product candidates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5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the Centers for Medicare &amp; Medicaid Services, or CMS, to test innovative payment and service delivery models to lower Medicare and Medicaid spending.</w:t>
      </w:r>
    </w:p>
    <w:p>
      <w:pPr>
        <w:spacing w:after="0" w:line="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Act.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Inflation Reduction Act, or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7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30, 2020, the U.S. Department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8"/>
          <w:szCs w:val="18"/>
          <w:color w:val="auto"/>
        </w:rPr>
        <w:t>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which have also been delayed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effectuated but is likely to have a significant impact on the pharmaceutical industry.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50"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4" w:lineRule="exact"/>
        <w:rPr>
          <w:sz w:val="20"/>
          <w:szCs w:val="20"/>
          <w:color w:val="auto"/>
        </w:rPr>
      </w:pPr>
    </w:p>
    <w:p>
      <w:pPr>
        <w:ind w:left="760" w:right="16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4" w:lineRule="exact"/>
        <w:rPr>
          <w:rFonts w:ascii="Times New Roman" w:cs="Times New Roman" w:eastAsia="Times New Roman" w:hAnsi="Times New Roman"/>
          <w:sz w:val="18"/>
          <w:szCs w:val="18"/>
          <w:color w:val="auto"/>
        </w:rPr>
      </w:pPr>
    </w:p>
    <w:p>
      <w:pPr>
        <w:ind w:left="760" w:right="120" w:hanging="378"/>
        <w:spacing w:after="0" w:line="260"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Times New Roman" w:cs="Times New Roman" w:eastAsia="Times New Roman" w:hAnsi="Times New Roman"/>
          <w:sz w:val="18"/>
          <w:szCs w:val="18"/>
          <w:color w:val="auto"/>
        </w:rPr>
      </w:pPr>
    </w:p>
    <w:p>
      <w:pPr>
        <w:ind w:left="760" w:right="260" w:hanging="378"/>
        <w:spacing w:after="0" w:line="26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69" w:lineRule="exact"/>
        <w:rPr>
          <w:rFonts w:ascii="Times New Roman" w:cs="Times New Roman" w:eastAsia="Times New Roman" w:hAnsi="Times New Roman"/>
          <w:sz w:val="18"/>
          <w:szCs w:val="18"/>
          <w:color w:val="auto"/>
        </w:rPr>
      </w:pPr>
    </w:p>
    <w:p>
      <w:pPr>
        <w:ind w:left="760" w:right="20" w:hanging="378"/>
        <w:spacing w:after="0" w:line="276" w:lineRule="auto"/>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left="760" w:right="280" w:hanging="378"/>
        <w:spacing w:after="0" w:line="260"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prescribers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during the preceding calendar year; and</w:t>
      </w:r>
    </w:p>
    <w:p>
      <w:pPr>
        <w:spacing w:after="0" w:line="73"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any consulting agreements with physicians who may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w:t>
      </w:r>
    </w:p>
    <w:p>
      <w:pPr>
        <w:spacing w:after="0" w:line="6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To date, we have exclusive rights in the field of cancer treatment to certain U.S. and foreign intellectual property with respect to certain cell therapy and related technologies from MD Anderson and the NCI, as well as with respect to the Precigen technology,</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Precigen and us, and MD Anderson has the right to control the preparation, filing, and prosecution of such patent applications unless the parties agree that we or Precigen instead may control such activities. Although under the License Agreement MD Anderson has agreed to review and incorporate any reasonable comments that we or Precigen may have regarding licensed patents and patent applications, we cannot guarantee that our comments will be solicited or implemented.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implemented. Under our A&amp;R License Agreement Precigen has the right, but not the obligation, to prepare, file, prosecute, and maintain the patents and patent applications licensed to us and shall bear all related costs incurred by it in regard to those actions. Precigen is required to consult with us and keep us reasonably informed of the status of the patents and patent applications licensed to us, and to confer with us prior to submitting any related filings and correspondence. Although under the A&amp;R License Agreement Precigen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Precigen, as applicable, to keep us advised of prosecution, particularly in foreign jurisdictions where prosecution information may not be publicly available. We anticipate that we, the NCI and Precigen will file additional patent applications both in the United States and in other jurisdictions. However, we cannot predict or guarantee for either our in-licensed patent portfolios or for Alaunos’ patent portfolio:</w:t>
      </w:r>
    </w:p>
    <w:p>
      <w:pPr>
        <w:spacing w:after="0" w:line="84"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50" w:name="page51"/>
    <w:bookmarkEnd w:id="50"/>
    <w:p>
      <w:pPr>
        <w:ind w:right="60"/>
        <w:spacing w:after="0" w:line="254" w:lineRule="auto"/>
        <w:rPr>
          <w:sz w:val="20"/>
          <w:szCs w:val="20"/>
          <w:color w:val="auto"/>
        </w:rPr>
      </w:pPr>
      <w:r>
        <w:rPr>
          <w:rFonts w:ascii="Times New Roman" w:cs="Times New Roman" w:eastAsia="Times New Roman" w:hAnsi="Times New Roman"/>
          <w:sz w:val="18"/>
          <w:szCs w:val="18"/>
          <w:color w:val="auto"/>
        </w:rPr>
        <w:t>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the NCI or Precigen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8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harmed.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7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1" w:name="page52"/>
    <w:bookmarkEnd w:id="51"/>
    <w:p>
      <w:pPr>
        <w:spacing w:after="0" w:line="260"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the NCI and Precigen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6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5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8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the MD Anderson License, the Patent License and the A&amp;R License Agreement. Under these agreements, we are subject to a range of obligations pertaining to commercialization and development, sublicensing, royalty, patent prosecution and maintenance, and insurance.</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7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5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ind w:right="40"/>
        <w:spacing w:after="0" w:line="258" w:lineRule="auto"/>
        <w:rPr>
          <w:sz w:val="20"/>
          <w:szCs w:val="20"/>
          <w:color w:val="auto"/>
        </w:rPr>
      </w:pPr>
      <w:r>
        <w:rPr>
          <w:rFonts w:ascii="Times New Roman" w:cs="Times New Roman" w:eastAsia="Times New Roman" w:hAnsi="Times New Roman"/>
          <w:sz w:val="18"/>
          <w:szCs w:val="18"/>
          <w:color w:val="auto"/>
        </w:rPr>
        <w:t>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7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9"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21"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5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statements by third parties like trial participants and clinical investigators regarding our current or future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54" w:lineRule="exact"/>
        <w:rPr>
          <w:rFonts w:ascii="Times New Roman" w:cs="Times New Roman" w:eastAsia="Times New Roman" w:hAnsi="Times New Roman"/>
          <w:sz w:val="18"/>
          <w:szCs w:val="18"/>
          <w:color w:val="auto"/>
        </w:rPr>
      </w:pPr>
    </w:p>
    <w:p>
      <w:pPr>
        <w:ind w:left="760" w:right="160" w:hanging="378"/>
        <w:spacing w:after="0" w:line="260"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deletion from certain stock indices;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global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Global Select Market, have experienced extreme price and volume fluctuations that have affected, and continue to affect, the market prices of equity securities of many biopharmaceutical companies.</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Public statements made by third parties such as trial participants and clinical investigators about our current or future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harm to our business.</w:t>
      </w:r>
    </w:p>
    <w:p>
      <w:pPr>
        <w:spacing w:after="0" w:line="17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satisfy applicable listing standards, our common stock may be delisted from the Nasdaq Global Select Market. Delisting could prevent us from maintaining an active, liquid and orderly trading market for our common stock.</w:t>
      </w:r>
    </w:p>
    <w:p>
      <w:pPr>
        <w:spacing w:after="0" w:line="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Our ability to publicly or privately sell equity securities and the liquidity of our common stock could be adversely affected if we are delisted from the Nasdaq Global Select Market or if we are unable to transfer our listing to another stock market. On January 4, 2023,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have been provided a period of 180 calendar days, or until July 3, 2023, or the Compliance Date, to regain compliance with the Bid Price Requirement. If, at any time before the Compliance Date, the bid price for our common stock closes at $1.00 or more for a minimum of 10 consecutive business days as required under the Compliance Period Rule, Nasdaq will provide us written notification that we have regained compliance with the Bid Price Requirement, unless Nasdaq exercises its discretion to extend this ten-day period.</w:t>
      </w:r>
    </w:p>
    <w:p>
      <w:pPr>
        <w:spacing w:after="0" w:line="2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this 180-day period, we anticipate reviewing our options to regain compliance with the Minimum Bid Price Rule, including conducting a reverse stock split. On April 25, 2023, we filed a definitive proxy statement, which included a proposal to effect a reverse stock split, if needed in the discretion of our board of directors to regain compliance with the Minimum Bid Price Rule, at a ratio between the range of 1-for-5 and 1-for-15, inclusive. On May 5, 2023, the closing price of our common stock was $0.59 per share. If we are unable to continue to meet the requirements for listing on the Nasdaq Global Select Market we may apply to Nasdaq to list our common stock on the Nasdaq Capital Market, which may also provide us up to an additional 180 days to regain compliance with the Minimum Bid Price Rule. Nasdaq would have to accept our application to list on the Nasdaq Capital Market and we would need to show our compliance with the other listing standards and provide Nasdaq written notice of our intention to cure the Bid Price deficiency. Should Nasdaq determine that we are not eligible to list on the Nasdaq Capital Market or we elect not to submit 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t>application to transfer to the Nasdaq Capital Market, we will receive written notice that our common stock will be delisted, at which point we will have the opportunity to appeal that decision. 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7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Further, if our common stock is delisted, we would incur additional costs under state blue sky laws in connection with any sales of our securities. These requirements could severely limit the market liquidity of our common stock and the ability of our shareholders to sell our common stock in the secondary market.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effect a reverse stock split of our common stock, but it may not result in the intended benefits.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described above, we are seeking approval from our stockholders to effect, if needed in the discretion of our board of directors, a reverse stock split of the issued and outstanding shares of our common stock, our treasury stock, and a proportionate reduction in the shares of our authorized common stock in order to regain compliance with the Minimum Bid Price Rule. However, there can be no assurance that the reverse stock split will be approved by our stockholders. Further, there can be no assurance that the market price per new share of our common stock after the reverse stock split will remain unchanged or increase in proportion to the reduction in the number of old shares of our common stock outstanding before the reverse stock split. Other factors, such as our financial results, market conditions and the market perception of our business may adversely affect the market price of our common stock and there can be no assurance that a reverse stock split, if completed, will result in the intended benefits, that the market price of our common stock will increase in proportion to the reduction in the number of shares of our common stock outstanding before the reverse stock split or that the market price of our common stock will not decrease in the future. If the market price of our common stock does not increase the price per share of our common stock above Nasdaq’s minimum bid price threshold of $1.00 per share or if the market price of our common stock does not remain above Nasdaq’s minimum bid price threshold of $1.00 per share, our common stock may still be delisted from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implement a reverse stock split, liquidity of our common stock may be adversely affected.</w:t>
      </w:r>
    </w:p>
    <w:p>
      <w:pPr>
        <w:spacing w:after="0" w:line="12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If we do effect a reverse stock split, the liquidity of the shares of our common stock may be affected adversely by any such reverse stock split given the reduced number of shares of common stock that will be outstanding following the reverse stock split, especially if the market price of our common stock does not increase as a result of the reverse stock split.</w:t>
      </w:r>
    </w:p>
    <w:p>
      <w:pPr>
        <w:spacing w:after="0" w:line="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Following any reverse stock split, the resulting market price of our common stock may not attract new investors and may not satisfy the investing requirements of those investors. Although we believe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17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have the effect of delaying, deferring or preventing a change in control that our stockholders might consider to be in their best interests.</w:t>
      </w:r>
    </w:p>
    <w:p>
      <w:pPr>
        <w:spacing w:after="0" w:line="22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spacing w:after="0" w:line="8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spacing w:after="0" w:line="6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5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380"/>
        <w:spacing w:after="0" w:line="265" w:lineRule="auto"/>
        <w:rPr>
          <w:sz w:val="20"/>
          <w:szCs w:val="20"/>
          <w:color w:val="auto"/>
        </w:rPr>
      </w:pPr>
      <w:r>
        <w:rPr>
          <w:rFonts w:ascii="Times New Roman" w:cs="Times New Roman" w:eastAsia="Times New Roman" w:hAnsi="Times New Roman"/>
          <w:sz w:val="18"/>
          <w:szCs w:val="18"/>
          <w:color w:val="auto"/>
        </w:rPr>
        <w:t>of the analysts who cover us downgrade our stock, or if our results of operations do not meet their expectations, our stock price could decline. If our common stock is delisted by Nasdaq, the impact of analysts ceasing to cover our securities may negatively impact the price of our common stock more dramatically.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9"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17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March 31, 2023, we had warrants for 22,922,342 shares of our common stock outstanding at a weighted average exercise price of $5.62 per share. We are able to grant stock options, restricted stock, restricted stock units, stock appreciation rights, bonus stocks, and performance awards under the 2020 Equity Incentive Plan. As of March 31, 2023, under the 2020 Equity Incentive Plan and our 2012 Equity Incentive Plan, 13,313,246 shares were issuable upon the exercise of outstanding options at a weighted average exercise price of $1.54 per share.</w:t>
      </w:r>
    </w:p>
    <w:p>
      <w:pPr>
        <w:spacing w:after="0" w:line="1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5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2023, our executive officers, directors and holders of five percent or more of our outstanding common stock beneficially owned, in the aggregate, 22.5%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5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corporate tax legislation, including the Tax Cuts and Jobs Act, signed into law in 2017, could adversely affect our business and financial condition.</w:t>
      </w:r>
    </w:p>
    <w:p>
      <w:pPr>
        <w:spacing w:after="0" w:line="5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Tax Act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and elimination of NOL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The Coronavirus Aid, Relief, and Economic Security Act, or CARES Act, enacted in 2020, modified certain of these tax changes, and enacted other tax changes applicable to corporations. Notwithstanding the reduction in the corporate income tax rate, the overall impact of the Tax Act and the CARES Act is uncertain and our business and financial condition could be adversely affected. In addition, it is uncertain if and to what extent various states will conform to the Tax Act or the CARES Act. Currently, bills introduced in Congress, including the Build Back Better Act, contain additional changes to the taxation of corporations, which could adversely affect our business and financial condition. The impact of the Tax Act, the CARES Act and any other tax legislation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either (i) our public float exceeds $250 million, as of the last business day of our most recently completed second quarter, if our annual revenues equal or exceed $100 million in our most recently completed fiscal year, or (ii) our public float exceeds $700 million, as of the last business day of our most recently completed quarter, if our annual revenues are less than $100 million in our most recently completed fiscal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12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Certificate of Incorporation of the Registrant, and all amendments thereto (incorporated by reference to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1"/>
          </w:tcPr>
          <w:p>
            <w:pPr>
              <w:spacing w:after="0" w:line="195"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Exhibit 3.1 to the Registrant's Current Report on Form 8-K, SEC File No. 001-33038, filed June 17,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Bylaws of the Registrant, dated as of September 21, 2020 (incorporated by reference to Exhibit 3.1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1"/>
          </w:tcPr>
          <w:p>
            <w:pPr>
              <w:spacing w:after="0" w:line="195"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Registrant’s Current Report on Form 8-K, SEC File No. 001-33038, filed September 22, 2020).</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Amended and Restated Exclusive License Agreement, dated, April 3, 2023, by and between the Registrant and Precigen, Inc.</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Offer Letter, dated October 29, 2018, between the Registrant and Drew Deniger.</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Severance Agreement, dated July 29, 2019, between the Registrant and Drew Deniger.</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Employment Agreement, dated November 29, 2021, by and between the Registrant and Melinda K. Lackey.</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480" w:type="dxa"/>
            <w:vAlign w:val="bottom"/>
            <w:tcBorders>
              <w:right w:val="single" w:sz="8" w:color="0000EE"/>
            </w:tcBorders>
            <w:gridSpan w:val="5"/>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 13a-14(a) or 15(d)-14(a), as adopted pursuant to</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66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Accounting Officer pursuant to 18 U.S.C. Section 1350, as adopted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gridSpan w:val="2"/>
            <w:shd w:val="clear" w:color="auto" w:fill="0000FF"/>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280" w:type="dxa"/>
            <w:vAlign w:val="bottom"/>
            <w:tcBorders>
              <w:right w:val="single" w:sz="8" w:color="0000EE"/>
            </w:tcBorders>
            <w:gridSpan w:val="2"/>
            <w:shd w:val="clear" w:color="auto" w:fill="0000EE"/>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Exhibit 101 attachments</w:t>
            </w: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This certification is deemed not filed for purposes of Section 18 of the Securities Exchange Act of 1934, as amended, or otherwise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subject to the liability of that section, nor shall it be deemed incorporated by reference into any filing under the Securities Act of</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1933, as amended, or the Securities Exchange Act of 1934, as amended, whether made before or after the date hereof, regardless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any general incorporation language in such filing.</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580" w:right="460" w:hanging="1469"/>
        <w:spacing w:after="0" w:line="281" w:lineRule="auto"/>
        <w:tabs>
          <w:tab w:leader="none" w:pos="1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document (indicated by “[***]”) have been omitted because such information is not material and is the type of information that the Registrant treats as private or confidential.</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(On Behalf of the Registrant and as Principal Executive Officer and Principal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10, 2023</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Wong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Wong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10, 2023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E52138"/>
        </w:rPr>
        <w:t>Certain identified information marked with [***] has been excluded from this exhibit because it is not material and is of the type that the registrant treats as private and confidential.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EXCLUSIVE LICENSE AGREEMENT</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AMENDED AND RESTATED E</w:t>
      </w:r>
      <w:r>
        <w:rPr>
          <w:rFonts w:ascii="Times New Roman" w:cs="Times New Roman" w:eastAsia="Times New Roman" w:hAnsi="Times New Roman"/>
          <w:sz w:val="14"/>
          <w:szCs w:val="14"/>
          <w:b w:val="1"/>
          <w:bCs w:val="1"/>
          <w:color w:val="auto"/>
        </w:rPr>
        <w:t>xclusive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April 3,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replaces in its entirety the Exclusive License Agreement entered into on October 5, 2018 (the “</w:t>
      </w:r>
      <w:r>
        <w:rPr>
          <w:rFonts w:ascii="Times New Roman" w:cs="Times New Roman" w:eastAsia="Times New Roman" w:hAnsi="Times New Roman"/>
          <w:sz w:val="22"/>
          <w:szCs w:val="22"/>
          <w:b w:val="1"/>
          <w:bCs w:val="1"/>
          <w:color w:val="auto"/>
        </w:rPr>
        <w:t>ELA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Alaunos Therapeutics </w:t>
      </w:r>
      <w:r>
        <w:rPr>
          <w:rFonts w:ascii="Times New Roman" w:cs="Times New Roman" w:eastAsia="Times New Roman" w:hAnsi="Times New Roman"/>
          <w:sz w:val="22"/>
          <w:szCs w:val="22"/>
          <w:color w:val="auto"/>
        </w:rPr>
        <w:t>(formerly known as ZIOPHARM O</w:t>
      </w:r>
      <w:r>
        <w:rPr>
          <w:rFonts w:ascii="Times New Roman" w:cs="Times New Roman" w:eastAsia="Times New Roman" w:hAnsi="Times New Roman"/>
          <w:sz w:val="14"/>
          <w:szCs w:val="14"/>
          <w:color w:val="auto"/>
        </w:rPr>
        <w:t>ncology</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 a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with its principal place of business at 8030 El Rio, Houston TX 77054 (“</w:t>
      </w:r>
      <w:r>
        <w:rPr>
          <w:rFonts w:ascii="Times New Roman" w:cs="Times New Roman" w:eastAsia="Times New Roman" w:hAnsi="Times New Roman"/>
          <w:sz w:val="22"/>
          <w:szCs w:val="22"/>
          <w:b w:val="1"/>
          <w:bCs w:val="1"/>
          <w:color w:val="auto"/>
        </w:rPr>
        <w:t>Alaunos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recigen</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 Virginia corporation, with its principal place of business at 20358 Seneca Meadows Parkway, Germantown, MD 20876 (“</w:t>
      </w:r>
      <w:r>
        <w:rPr>
          <w:rFonts w:ascii="Times New Roman" w:cs="Times New Roman" w:eastAsia="Times New Roman" w:hAnsi="Times New Roman"/>
          <w:sz w:val="22"/>
          <w:szCs w:val="22"/>
          <w:b w:val="1"/>
          <w:bCs w:val="1"/>
          <w:color w:val="auto"/>
        </w:rPr>
        <w:t>Precigen</w:t>
      </w:r>
      <w:r>
        <w:rPr>
          <w:rFonts w:ascii="Times New Roman" w:cs="Times New Roman" w:eastAsia="Times New Roman" w:hAnsi="Times New Roman"/>
          <w:sz w:val="22"/>
          <w:szCs w:val="22"/>
          <w:color w:val="auto"/>
        </w:rPr>
        <w:t>”). Alaunos and Precigen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Precigen possesses certain intellectual property related to Licensed Products (as defined below);</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Alaunos is a biopharmaceutical company focused on development of TCR Products (as defined below);</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Precigen and Alaunos are parties to certain agreements that, by this Agreement, are being terminated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in consideration of entering into this Agreement, the Parties have agreed to amend certain rights,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payment terms; and</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in connection with the Parties entering into this Agreement, the Parties have agreed to release each other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claims that either such Party may have under any prior agreement or arrangement between the Parties.</w:t>
      </w:r>
    </w:p>
    <w:p>
      <w:pPr>
        <w:spacing w:after="0" w:line="151" w:lineRule="exact"/>
        <w:rPr>
          <w:sz w:val="20"/>
          <w:szCs w:val="20"/>
          <w:color w:val="auto"/>
        </w:rPr>
      </w:pPr>
    </w:p>
    <w:p>
      <w:pPr>
        <w:ind w:right="76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foregoing premises and the mutual promises, covenants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this Agreement, the Parties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2015 MDACC License</w:t>
      </w:r>
      <w:r>
        <w:rPr>
          <w:rFonts w:ascii="Times New Roman" w:cs="Times New Roman" w:eastAsia="Times New Roman" w:hAnsi="Times New Roman"/>
          <w:sz w:val="22"/>
          <w:szCs w:val="22"/>
          <w:color w:val="auto"/>
        </w:rPr>
        <w:t>” means that certain License Agreement by and among Intrexon Corporation, Alaunos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MDACC with an effective date of January 13, 2015, as amended, and as assigned by Intrexon and assumed by Precigen effective as of January 1, 2018.</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2018 MDACC License</w:t>
      </w:r>
      <w:r>
        <w:rPr>
          <w:rFonts w:ascii="Times New Roman" w:cs="Times New Roman" w:eastAsia="Times New Roman" w:hAnsi="Times New Roman"/>
          <w:sz w:val="22"/>
          <w:szCs w:val="22"/>
          <w:color w:val="auto"/>
        </w:rPr>
        <w:t>” means that certain License Agreement by and among Precigen, Alaunos and MDACC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effective date of January 8, 2018, as amended.</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has the meaning set forth in Section 11.2.</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AAA Rules</w:t>
      </w:r>
      <w:r>
        <w:rPr>
          <w:rFonts w:ascii="Times New Roman" w:cs="Times New Roman" w:eastAsia="Times New Roman" w:hAnsi="Times New Roman"/>
          <w:sz w:val="22"/>
          <w:szCs w:val="22"/>
          <w:color w:val="auto"/>
        </w:rPr>
        <w:t>” has the meaning set forth in Section 11.2.</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Accessory Material Agents</w:t>
      </w:r>
      <w:r>
        <w:rPr>
          <w:rFonts w:ascii="Times New Roman" w:cs="Times New Roman" w:eastAsia="Times New Roman" w:hAnsi="Times New Roman"/>
          <w:sz w:val="22"/>
          <w:szCs w:val="22"/>
          <w:color w:val="auto"/>
        </w:rPr>
        <w:t>” means those materials as set forth in a letter agreement dated as of the date hereof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between the Parties for use in the Field with Licensed Products.</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Activator Ligand</w:t>
      </w:r>
      <w:r>
        <w:rPr>
          <w:rFonts w:ascii="Times New Roman" w:cs="Times New Roman" w:eastAsia="Times New Roman" w:hAnsi="Times New Roman"/>
          <w:sz w:val="22"/>
          <w:szCs w:val="22"/>
          <w:color w:val="auto"/>
        </w:rPr>
        <w:t>” means (i) veledimex and all formulations covered by the Drug Master File for a Formerly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 developed by Alaunos, and (ii) changes to the subject matter described in the foregoing (i) and made by Alaunos to advance a Formerly Licensed Product (“</w:t>
      </w:r>
      <w:r>
        <w:rPr>
          <w:rFonts w:ascii="Times New Roman" w:cs="Times New Roman" w:eastAsia="Times New Roman" w:hAnsi="Times New Roman"/>
          <w:sz w:val="22"/>
          <w:szCs w:val="22"/>
          <w:b w:val="1"/>
          <w:bCs w:val="1"/>
          <w:color w:val="auto"/>
        </w:rPr>
        <w:t>Alaunos Veledimex Alterations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particular Party or other entity, a person, corporation, partnership, or other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controls, is controlled by or is under common control with such Party or other entity.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Alaunos</w:t>
      </w:r>
      <w:r>
        <w:rPr>
          <w:rFonts w:ascii="Times New Roman" w:cs="Times New Roman" w:eastAsia="Times New Roman" w:hAnsi="Times New Roman"/>
          <w:sz w:val="22"/>
          <w:szCs w:val="22"/>
          <w:color w:val="auto"/>
        </w:rPr>
        <w:t>” has the meaning set forth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 Party</w:t>
      </w:r>
      <w:r>
        <w:rPr>
          <w:rFonts w:ascii="Times New Roman" w:cs="Times New Roman" w:eastAsia="Times New Roman" w:hAnsi="Times New Roman"/>
          <w:sz w:val="22"/>
          <w:szCs w:val="22"/>
          <w:color w:val="auto"/>
        </w:rPr>
        <w:t>” has the meaning set forth in Section 12.2(a).</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1.10“BCMA CAR Products</w:t>
      </w:r>
      <w:r>
        <w:rPr>
          <w:rFonts w:ascii="Times New Roman" w:cs="Times New Roman" w:eastAsia="Times New Roman" w:hAnsi="Times New Roman"/>
          <w:sz w:val="22"/>
          <w:szCs w:val="22"/>
          <w:color w:val="auto"/>
        </w:rPr>
        <w:t xml:space="preserve">” means any biological product, process or therapy developed under or arising from the B-cell maturation antigen (BCMA) CAR Program that is comprised of a CAR that is directed to BCMA, </w:t>
      </w:r>
      <w:r>
        <w:rPr>
          <w:rFonts w:ascii="Times New Roman" w:cs="Times New Roman" w:eastAsia="Times New Roman" w:hAnsi="Times New Roman"/>
          <w:sz w:val="19"/>
          <w:szCs w:val="19"/>
          <w:color w:val="auto"/>
        </w:rPr>
        <w:t>including all</w:t>
      </w:r>
      <w:r>
        <w:rPr>
          <w:rFonts w:ascii="Times New Roman" w:cs="Times New Roman" w:eastAsia="Times New Roman" w:hAnsi="Times New Roman"/>
          <w:sz w:val="22"/>
          <w:szCs w:val="22"/>
          <w:color w:val="auto"/>
        </w:rPr>
        <w:t xml:space="preserve"> forms, formulations, presentations, doses, administrations and package configurations.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BCMA CAR Program</w:t>
      </w:r>
      <w:r>
        <w:rPr>
          <w:rFonts w:ascii="Times New Roman" w:cs="Times New Roman" w:eastAsia="Times New Roman" w:hAnsi="Times New Roman"/>
          <w:sz w:val="20"/>
          <w:szCs w:val="20"/>
          <w:color w:val="auto"/>
        </w:rPr>
        <w:t>” means a program(s) of Research and Development focused on using CAR cells directed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BCMA.</w:t>
      </w:r>
    </w:p>
    <w:p>
      <w:pPr>
        <w:spacing w:after="0" w:line="177"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or any day that banks in New York, New York, USA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to be closed.</w:t>
      </w:r>
    </w:p>
    <w:p>
      <w:pPr>
        <w:spacing w:after="0" w:line="15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CD19 CAR Products</w:t>
      </w:r>
      <w:r>
        <w:rPr>
          <w:rFonts w:ascii="Times New Roman" w:cs="Times New Roman" w:eastAsia="Times New Roman" w:hAnsi="Times New Roman"/>
          <w:sz w:val="22"/>
          <w:szCs w:val="22"/>
          <w:color w:val="auto"/>
        </w:rPr>
        <w:t>” means any biological product, process or therapy developed under or arising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CD19 CAR Program that is comprised of a CAR that is directed to CD19, </w:t>
      </w:r>
      <w:r>
        <w:rPr>
          <w:rFonts w:ascii="Times New Roman" w:cs="Times New Roman" w:eastAsia="Times New Roman" w:hAnsi="Times New Roman"/>
          <w:sz w:val="19"/>
          <w:szCs w:val="19"/>
          <w:color w:val="auto"/>
        </w:rPr>
        <w:t>including all</w:t>
      </w:r>
      <w:r>
        <w:rPr>
          <w:rFonts w:ascii="Times New Roman" w:cs="Times New Roman" w:eastAsia="Times New Roman" w:hAnsi="Times New Roman"/>
          <w:sz w:val="22"/>
          <w:szCs w:val="22"/>
          <w:color w:val="auto"/>
        </w:rPr>
        <w:t xml:space="preserve"> forms, formulations, presentations, doses, administrations and package configurations. CD19 CAR Products include all product candidates that previously were under Development by Alaunos (and Precigen and its Affiliates) as of the Effective Date that contain a CAR that targets CD19.</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CD19 CAR Program</w:t>
      </w:r>
      <w:r>
        <w:rPr>
          <w:rFonts w:ascii="Times New Roman" w:cs="Times New Roman" w:eastAsia="Times New Roman" w:hAnsi="Times New Roman"/>
          <w:sz w:val="20"/>
          <w:szCs w:val="20"/>
          <w:color w:val="auto"/>
        </w:rPr>
        <w:t>” means a program(s) of Research and Development focused on using CAR cells directed to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CD19.</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Chimeric Antigen Receptor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CAR</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Chimeric Antigen Receptor T-Cell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CAR-T</w:t>
      </w:r>
      <w:r>
        <w:rPr>
          <w:rFonts w:ascii="Times New Roman" w:cs="Times New Roman" w:eastAsia="Times New Roman" w:hAnsi="Times New Roman"/>
          <w:sz w:val="22"/>
          <w:szCs w:val="22"/>
          <w:color w:val="auto"/>
        </w:rPr>
        <w:t>” means [***].</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22"/>
          <w:szCs w:val="22"/>
          <w:b w:val="1"/>
          <w:bCs w:val="1"/>
          <w:color w:val="auto"/>
        </w:rPr>
        <w:t>1.17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has the meaning set forth in Section 8.1.</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the marketing, promotion, sale and/or distribution of products in the Territory, and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manufacturing activities not included in the definition of Development. Commercialization, in relation to a Licensed Product, shall include commercial activities conducted in preparation for Licensed Product launch.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has a correlative meaning.</w:t>
      </w:r>
    </w:p>
    <w:p>
      <w:pPr>
        <w:spacing w:after="0" w:line="17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0"/>
          <w:szCs w:val="20"/>
          <w:b w:val="1"/>
          <w:bCs w:val="1"/>
          <w:color w:val="auto"/>
        </w:rPr>
        <w:t>1.19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of a Party means any and all Information of such Party that is disclosed to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under this Agreement, whether in oral, written, graphic, or electronic form. In addition, all Information disclosed by Precigen pursuant to the ELA Agreement and its predecessor agreements shall be deemed to be Precigen’s Confidential Information disclosed hereunder, and all Information disclosed by Alaunos pursuant to the ELA Agreement and its predecessor agreements shall be deemed to be Alaunos’ Confidential Information disclosed hereunder; provided that any use or disclosure of any Information that is authorized under Section 9.2 or otherwise licensed or expressly contemplated by this Agreement shall not be restricted by, or be deemed a violation of, the surviving confidentiality provisions under the predecessor agreements.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Construct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with respect to any material, Information, or intellectual property right, that a Party (a) owns or</w:t>
      </w:r>
    </w:p>
    <w:p>
      <w:pPr>
        <w:spacing w:after="0" w:line="18" w:lineRule="exact"/>
        <w:rPr>
          <w:sz w:val="20"/>
          <w:szCs w:val="20"/>
          <w:color w:val="auto"/>
        </w:rPr>
      </w:pPr>
    </w:p>
    <w:p>
      <w:pPr>
        <w:jc w:val="both"/>
        <w:ind w:firstLine="8"/>
        <w:spacing w:after="0" w:line="233" w:lineRule="auto"/>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license (other than a license granted to such Party under this Agreement) to such material, Information, or intellectual property right and, in each case, has the ability to grant to the other Party access, a license, or a sublicense (as applicable) to the foregoing on the terms and conditions set forth in this Agreement without violating the terms of any then-existing agreement or other legally enforceable arrangement with any Third Party.</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with respect to a claim of a Patent and a product, that such claim would be infringed, absent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by the manufacture, use, offer for sale, sale or importation of such product (considering claims of patent applications to be issued as then pending).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Covered</w:t>
      </w:r>
      <w:r>
        <w:rPr>
          <w:rFonts w:ascii="Times New Roman" w:cs="Times New Roman" w:eastAsia="Times New Roman" w:hAnsi="Times New Roman"/>
          <w:sz w:val="22"/>
          <w:szCs w:val="22"/>
          <w:color w:val="auto"/>
        </w:rPr>
        <w:t>” shall have a correlative meaning.</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Covering Claim</w:t>
      </w:r>
      <w:r>
        <w:rPr>
          <w:rFonts w:ascii="Times New Roman" w:cs="Times New Roman" w:eastAsia="Times New Roman" w:hAnsi="Times New Roman"/>
          <w:sz w:val="22"/>
          <w:szCs w:val="22"/>
          <w:color w:val="auto"/>
        </w:rPr>
        <w:t>” has the meaning set forth in Section 5.2(b).</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activities that relate to the pre-clinical and clinical development of a product or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obtaining, maintaining or expanding Regulatory Approval of a product, or (b) developing the ability to manufacture clinical and commercial quantities of a product. This includes: (i) preclinical testing, toxicology, and clinical trials; (ii) preparation, submission, review, and development of data or information for the purpose of submission to a Governmental Authority to obtain, maintain or expand Regulatory Approval of a product; and (iii) manufacturing process development and scale-up, bulk production and fill/finish work associated with the supply of a product for preclinical testing and clinical trials, and related quality assurance and technical support activities.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Developed</w:t>
      </w:r>
      <w:r>
        <w:rPr>
          <w:rFonts w:ascii="Times New Roman" w:cs="Times New Roman" w:eastAsia="Times New Roman" w:hAnsi="Times New Roman"/>
          <w:sz w:val="22"/>
          <w:szCs w:val="22"/>
          <w:color w:val="auto"/>
        </w:rPr>
        <w:t>” have a correlative meaning.</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has the meaning set forth in Section 11.1.</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w:t>
      </w:r>
      <w:r>
        <w:rPr>
          <w:rFonts w:ascii="Times New Roman" w:cs="Times New Roman" w:eastAsia="Times New Roman" w:hAnsi="Times New Roman"/>
          <w:sz w:val="22"/>
          <w:szCs w:val="22"/>
          <w:color w:val="auto"/>
        </w:rPr>
        <w:t>” means a U.S. dollar,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shall be interpreted accordingly.</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3" w:name="page64"/>
    <w:bookmarkEnd w:id="63"/>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Exclusive Products</w:t>
      </w:r>
      <w:r>
        <w:rPr>
          <w:rFonts w:ascii="Times New Roman" w:cs="Times New Roman" w:eastAsia="Times New Roman" w:hAnsi="Times New Roman"/>
          <w:sz w:val="22"/>
          <w:szCs w:val="22"/>
          <w:color w:val="auto"/>
        </w:rPr>
        <w:t>” means TCR Exclusive Products. For clarity, Exclusive Products include all forms,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formulations, presentations, doses, administrations and package configurations thereof.</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Exclusive Program</w:t>
      </w:r>
      <w:r>
        <w:rPr>
          <w:rFonts w:ascii="Times New Roman" w:cs="Times New Roman" w:eastAsia="Times New Roman" w:hAnsi="Times New Roman"/>
          <w:sz w:val="22"/>
          <w:szCs w:val="22"/>
          <w:color w:val="auto"/>
        </w:rPr>
        <w:t>” means, as applicable, the TCR Exclusive Program.</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with respect to Precigen, its President or CEO, and with respect to Alaunos, its CEO.</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U.S. Federal Food, Drug and Cosmetic Act, as amended.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entity.</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(a) use of a Licensed Product (including TCR Products), for Treatment of cancer in humans,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solid and hematological cancers, and (b) use of TCR Products in the HPV Field. Except to the extent permitted under clause (b), the Field shall not include the prophylaxis or amelioration of conditions or symptoms associated with cancer or infectious disease which may result in cancer.</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1.33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Formerly Licensed Product</w:t>
      </w:r>
      <w:r>
        <w:rPr>
          <w:rFonts w:ascii="Times New Roman" w:cs="Times New Roman" w:eastAsia="Times New Roman" w:hAnsi="Times New Roman"/>
          <w:sz w:val="20"/>
          <w:szCs w:val="20"/>
          <w:color w:val="auto"/>
        </w:rPr>
        <w:t>” means, as described in the ELA Agreement (i) IL-12 Products or an IL-12 Program,</w:t>
      </w:r>
    </w:p>
    <w:p>
      <w:pPr>
        <w:spacing w:after="0" w:line="41" w:lineRule="exact"/>
        <w:rPr>
          <w:sz w:val="20"/>
          <w:szCs w:val="20"/>
          <w:color w:val="auto"/>
        </w:rPr>
      </w:pPr>
    </w:p>
    <w:p>
      <w:pPr>
        <w:ind w:left="760" w:right="1700" w:hanging="752"/>
        <w:spacing w:after="0" w:line="421" w:lineRule="auto"/>
        <w:tabs>
          <w:tab w:leader="none" w:pos="3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CD19 CAR Products or a CD19 CAR Program, or (iii) a BCMA CAR Product or a BCMA CAR Program. </w:t>
      </w:r>
      <w:r>
        <w:rPr>
          <w:rFonts w:ascii="Times New Roman" w:cs="Times New Roman" w:eastAsia="Times New Roman" w:hAnsi="Times New Roman"/>
          <w:sz w:val="22"/>
          <w:szCs w:val="22"/>
          <w:b w:val="1"/>
          <w:bCs w:val="1"/>
          <w:color w:val="auto"/>
        </w:rPr>
        <w:t>1.34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Gamma Delta T Cells</w:t>
      </w:r>
      <w:r>
        <w:rPr>
          <w:rFonts w:ascii="Times New Roman" w:cs="Times New Roman" w:eastAsia="Times New Roman" w:hAnsi="Times New Roman"/>
          <w:sz w:val="22"/>
          <w:szCs w:val="22"/>
          <w:color w:val="auto"/>
        </w:rPr>
        <w:t>” means T-Cells expressing gamma delta TCRs.</w:t>
      </w:r>
    </w:p>
    <w:p>
      <w:pPr>
        <w:spacing w:after="0" w:line="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Gorilla IL-12 Products</w:t>
      </w:r>
      <w:r>
        <w:rPr>
          <w:rFonts w:ascii="Times New Roman" w:cs="Times New Roman" w:eastAsia="Times New Roman" w:hAnsi="Times New Roman"/>
          <w:sz w:val="22"/>
          <w:szCs w:val="22"/>
          <w:color w:val="auto"/>
        </w:rPr>
        <w:t>” means any biological product, process or therapy Developed under the Gorilla IL-12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that is comprised of the Gorilla IL-12 Construct, including all forms, formulations, presentations, doses, administrations and package configurations.</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1.36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Gorilla IL-12 Program</w:t>
      </w:r>
      <w:r>
        <w:rPr>
          <w:rFonts w:ascii="Times New Roman" w:cs="Times New Roman" w:eastAsia="Times New Roman" w:hAnsi="Times New Roman"/>
          <w:sz w:val="22"/>
          <w:szCs w:val="22"/>
          <w:color w:val="auto"/>
        </w:rPr>
        <w:t>” means a program(s) of Research and Development dependent on use of the Gorilla IL-12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1.37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federal, state, local, municipal, provincial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 of any nature (including any governmental division, prefecture, subdivision, department, agency, bureau, branch, office, commission, council, court or other tribunal).</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1.38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HPV Field</w:t>
      </w:r>
      <w:r>
        <w:rPr>
          <w:rFonts w:ascii="Times New Roman" w:cs="Times New Roman" w:eastAsia="Times New Roman" w:hAnsi="Times New Roman"/>
          <w:sz w:val="22"/>
          <w:szCs w:val="22"/>
          <w:color w:val="auto"/>
        </w:rPr>
        <w:t>” means, the treatment and prevention of human papillomavirus (HPV) infection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replication or proliferation solely to the extent the primary reason for such treatment or prevention is to prevent cancer</w:t>
      </w:r>
      <w:r>
        <w:rPr>
          <w:rFonts w:ascii="Times New Roman" w:cs="Times New Roman" w:eastAsia="Times New Roman" w:hAnsi="Times New Roman"/>
          <w:sz w:val="22"/>
          <w:szCs w:val="22"/>
          <w:b w:val="1"/>
          <w:bCs w:val="1"/>
          <w:color w:val="auto"/>
        </w:rPr>
        <w:t>.</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1.39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Human IL-12 Products</w:t>
      </w:r>
      <w:r>
        <w:rPr>
          <w:rFonts w:ascii="Times New Roman" w:cs="Times New Roman" w:eastAsia="Times New Roman" w:hAnsi="Times New Roman"/>
          <w:sz w:val="22"/>
          <w:szCs w:val="22"/>
          <w:color w:val="auto"/>
        </w:rPr>
        <w:t>” means any biological product, process or therapy Developed under the Human IL-12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Program, </w:t>
      </w:r>
      <w:r>
        <w:rPr>
          <w:rFonts w:ascii="Times New Roman" w:cs="Times New Roman" w:eastAsia="Times New Roman" w:hAnsi="Times New Roman"/>
          <w:sz w:val="19"/>
          <w:szCs w:val="19"/>
          <w:color w:val="auto"/>
        </w:rPr>
        <w:t>including all</w:t>
      </w:r>
      <w:r>
        <w:rPr>
          <w:rFonts w:ascii="Times New Roman" w:cs="Times New Roman" w:eastAsia="Times New Roman" w:hAnsi="Times New Roman"/>
          <w:sz w:val="22"/>
          <w:szCs w:val="22"/>
          <w:color w:val="auto"/>
        </w:rPr>
        <w:t xml:space="preserve"> forms, formulations, presentations, doses, administrations and package configurations.</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1.40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Human IL-12 Program</w:t>
      </w:r>
      <w:r>
        <w:rPr>
          <w:rFonts w:ascii="Times New Roman" w:cs="Times New Roman" w:eastAsia="Times New Roman" w:hAnsi="Times New Roman"/>
          <w:sz w:val="22"/>
          <w:szCs w:val="22"/>
          <w:color w:val="auto"/>
        </w:rPr>
        <w:t>” means a program(s) of Research and Development focused on the use of the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clinical adenovirus to express Constructs.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22"/>
          <w:szCs w:val="22"/>
          <w:b w:val="1"/>
          <w:bCs w:val="1"/>
          <w:color w:val="auto"/>
        </w:rPr>
        <w:t>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IL-12 Products</w:t>
      </w:r>
      <w:r>
        <w:rPr>
          <w:rFonts w:ascii="Times New Roman" w:cs="Times New Roman" w:eastAsia="Times New Roman" w:hAnsi="Times New Roman"/>
          <w:sz w:val="22"/>
          <w:szCs w:val="22"/>
          <w:color w:val="auto"/>
        </w:rPr>
        <w:t>” means the Human IL-12 Products and the Gorilla IL-12 Products.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IL-12 Program</w:t>
      </w:r>
      <w:r>
        <w:rPr>
          <w:rFonts w:ascii="Times New Roman" w:cs="Times New Roman" w:eastAsia="Times New Roman" w:hAnsi="Times New Roman"/>
          <w:sz w:val="22"/>
          <w:szCs w:val="22"/>
          <w:color w:val="auto"/>
        </w:rPr>
        <w:t>” means, as applicable, the Human IL-12 Program or the Gorilla IL-12 Program.</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1.43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 an Investigational New Drug Application as defined in the FD&amp;C Act and applicable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 by the FDA, or (b) the equivalent application to the equivalent agency in any other regulatory jurisdiction, the filing of which is necessary to initiate or conduct clinical testing of a pharmaceutical product in humans in such jurisdiction.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has the meaning set forth in Section 8.3.</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1.45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the meaning set forth in Section 8.3.</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1.46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any data, results, technology, in any tangible or intangible form, including know-how, trade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secrets, practices, techniques, methods, processes, inventions, developments, specifications, formulations, formulae, algorithms, technology, test data (including biological and chemical, biochemical, clinical test data and data resulting from non-clinical studies), CMC information, stability data and other study data and procedures.</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1.47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laws, statutes, rules, regulations, ordinances and other pronouncements having the effect of law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national, multinational, state, provincial, county, city or other political subdivision, domestic or foreign.</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1.48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Intellectual Property</w:t>
      </w:r>
      <w:r>
        <w:rPr>
          <w:rFonts w:ascii="Times New Roman" w:cs="Times New Roman" w:eastAsia="Times New Roman" w:hAnsi="Times New Roman"/>
          <w:sz w:val="22"/>
          <w:szCs w:val="22"/>
          <w:color w:val="auto"/>
        </w:rPr>
        <w:t>” means the Licensed Know-How and Licensed Patents and any Alaunos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Veledimex Alterations.</w:t>
      </w:r>
    </w:p>
    <w:p>
      <w:pPr>
        <w:spacing w:after="0" w:line="15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1.49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all Information Controlled by Precigen or its Affiliates as of October 5, 2018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reasonably required or useful to advance Licensed Products and (i) was generated by or on behalf of Precigen or its Affiliates and was actually provided to and/or used by or on behalf of Alaunos or its Affiliates in connection with a Program as of, or prior to, October 5, 2018 (as evidenced by such Party’s or its Affiliates’ contemporaneous records) or (ii) was actually generated by or on behalf of Alaunos or its Affiliates or (b) is reasonably required to manufacture Accessory Material Agents.</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1.50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Patent</w:t>
      </w:r>
      <w:r>
        <w:rPr>
          <w:rFonts w:ascii="Times New Roman" w:cs="Times New Roman" w:eastAsia="Times New Roman" w:hAnsi="Times New Roman"/>
          <w:sz w:val="22"/>
          <w:szCs w:val="22"/>
          <w:color w:val="auto"/>
        </w:rPr>
        <w:t>” means (a) any patent or patent application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together with all continuations,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divisions, continuations-in-part, re-examinations, reissues, substitutions, confirmations, registrations, re-validations, patent term extensions, supplementary protection certificates, certificates of invention, and applications for certificates of invention, or the like, of any such patents and patent applications, and any patent application or patent to which any patent or patent application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claims priority and (b) any patent application filed after October 5, 2018 solely to the extent that such patent application Covers Licensed Know-How that was both in existence as of October 5, 2018 and necessary to use the Accessory Material Agents in connection with the Research, Development, manufacture or Commercialization of a Licensed Product in the Field.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5" w:name="page66"/>
    <w:bookmarkEnd w:id="65"/>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Exclusive Product or Non-Exclusive Product and “Licensed Products” collectively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Exclusive Products and Non-Exclusive Products.</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MDACC Research Agreement</w:t>
      </w:r>
      <w:r>
        <w:rPr>
          <w:rFonts w:ascii="Times New Roman" w:cs="Times New Roman" w:eastAsia="Times New Roman" w:hAnsi="Times New Roman"/>
          <w:sz w:val="22"/>
          <w:szCs w:val="22"/>
          <w:color w:val="auto"/>
        </w:rPr>
        <w:t>” means certain Research and Development Agreement by and among Intrexon,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Alaunos and The University of Texas M.D. Anderson Cancer Center (“</w:t>
      </w:r>
      <w:r>
        <w:rPr>
          <w:rFonts w:ascii="Times New Roman" w:cs="Times New Roman" w:eastAsia="Times New Roman" w:hAnsi="Times New Roman"/>
          <w:sz w:val="22"/>
          <w:szCs w:val="22"/>
          <w:b w:val="1"/>
          <w:bCs w:val="1"/>
          <w:color w:val="auto"/>
        </w:rPr>
        <w:t>MDACC</w:t>
      </w:r>
      <w:r>
        <w:rPr>
          <w:rFonts w:ascii="Times New Roman" w:cs="Times New Roman" w:eastAsia="Times New Roman" w:hAnsi="Times New Roman"/>
          <w:sz w:val="22"/>
          <w:szCs w:val="22"/>
          <w:color w:val="auto"/>
        </w:rPr>
        <w:t>”) with an effective date of August 17, 2015, and any amendments or statements of work thereto.</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Merck Agreement</w:t>
      </w:r>
      <w:r>
        <w:rPr>
          <w:rFonts w:ascii="Times New Roman" w:cs="Times New Roman" w:eastAsia="Times New Roman" w:hAnsi="Times New Roman"/>
          <w:sz w:val="22"/>
          <w:szCs w:val="22"/>
          <w:color w:val="auto"/>
        </w:rPr>
        <w:t>” means that certain License and Collaboration Agreement by and among Intrexon, Ziopharm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Ares Trading S.A., a corporation organized and existing under the laws of Switzerland, having offices at Zone Industrielle de L’Ouriettaz, 1170 Aubonne, Switzerland (“</w:t>
      </w:r>
      <w:r>
        <w:rPr>
          <w:rFonts w:ascii="Times New Roman" w:cs="Times New Roman" w:eastAsia="Times New Roman" w:hAnsi="Times New Roman"/>
          <w:sz w:val="22"/>
          <w:szCs w:val="22"/>
          <w:b w:val="1"/>
          <w:bCs w:val="1"/>
          <w:color w:val="auto"/>
        </w:rPr>
        <w:t>Ares Trading</w:t>
      </w:r>
      <w:r>
        <w:rPr>
          <w:rFonts w:ascii="Times New Roman" w:cs="Times New Roman" w:eastAsia="Times New Roman" w:hAnsi="Times New Roman"/>
          <w:sz w:val="22"/>
          <w:szCs w:val="22"/>
          <w:color w:val="auto"/>
        </w:rPr>
        <w:t>”) effective March 27, 2015, as amended.</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1.54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as defined in the FD&amp;C Act, as amended, and applicable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 by the FDA.</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Neo-antigens</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Product Marks</w:t>
      </w:r>
      <w:r>
        <w:rPr>
          <w:rFonts w:ascii="Times New Roman" w:cs="Times New Roman" w:eastAsia="Times New Roman" w:hAnsi="Times New Roman"/>
          <w:sz w:val="22"/>
          <w:szCs w:val="22"/>
          <w:color w:val="auto"/>
        </w:rPr>
        <w:t>” has the meaning set forth in Section 6.6.</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NK Cells</w:t>
      </w:r>
      <w:r>
        <w:rPr>
          <w:rFonts w:ascii="Times New Roman" w:cs="Times New Roman" w:eastAsia="Times New Roman" w:hAnsi="Times New Roman"/>
          <w:sz w:val="22"/>
          <w:szCs w:val="22"/>
          <w:color w:val="auto"/>
        </w:rPr>
        <w:t>” means natural killer cells.</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NK Cells and Gamma Delta T Cell Products</w:t>
      </w:r>
      <w:r>
        <w:rPr>
          <w:rFonts w:ascii="Times New Roman" w:cs="Times New Roman" w:eastAsia="Times New Roman" w:hAnsi="Times New Roman"/>
          <w:sz w:val="22"/>
          <w:szCs w:val="22"/>
          <w:color w:val="auto"/>
        </w:rPr>
        <w:t>” means any pharmaceutical or biological product, process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therapy developed under or arising from the NK Cells and Gamma Delta T Cell Program, </w:t>
      </w:r>
      <w:r>
        <w:rPr>
          <w:rFonts w:ascii="Times New Roman" w:cs="Times New Roman" w:eastAsia="Times New Roman" w:hAnsi="Times New Roman"/>
          <w:sz w:val="19"/>
          <w:szCs w:val="19"/>
          <w:color w:val="auto"/>
        </w:rPr>
        <w:t>including all</w:t>
      </w:r>
      <w:r>
        <w:rPr>
          <w:rFonts w:ascii="Times New Roman" w:cs="Times New Roman" w:eastAsia="Times New Roman" w:hAnsi="Times New Roman"/>
          <w:sz w:val="22"/>
          <w:szCs w:val="22"/>
          <w:color w:val="auto"/>
        </w:rPr>
        <w:t xml:space="preserve"> forms, formulations, presentations, doses, administrations and package configurations.</w:t>
      </w:r>
    </w:p>
    <w:p>
      <w:pPr>
        <w:spacing w:after="0" w:line="16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1.59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NK Cells and Gamma Delta T Cell Program</w:t>
      </w:r>
      <w:r>
        <w:rPr>
          <w:rFonts w:ascii="Times New Roman" w:cs="Times New Roman" w:eastAsia="Times New Roman" w:hAnsi="Times New Roman"/>
          <w:sz w:val="22"/>
          <w:szCs w:val="22"/>
          <w:color w:val="auto"/>
        </w:rPr>
        <w:t>” means a program(s) of Research and Development focused on 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Cells and Gamma Delta T Cells.</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1.60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Non-Exclusive Products</w:t>
      </w:r>
      <w:r>
        <w:rPr>
          <w:rFonts w:ascii="Times New Roman" w:cs="Times New Roman" w:eastAsia="Times New Roman" w:hAnsi="Times New Roman"/>
          <w:sz w:val="22"/>
          <w:szCs w:val="22"/>
          <w:color w:val="auto"/>
        </w:rPr>
        <w:t>” means (a) NK Cells and Gamma Delta T Cell Products, and (b) TCR Non-Exclusive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 each case as generated or Developed by Alaunos. For clarity, Non-Exclusive Products include all forms, formulations, presentations, doses, administrations and package configurations thereof.</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1.61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Oncology</w:t>
      </w:r>
      <w:r>
        <w:rPr>
          <w:rFonts w:ascii="Times New Roman" w:cs="Times New Roman" w:eastAsia="Times New Roman" w:hAnsi="Times New Roman"/>
          <w:sz w:val="22"/>
          <w:szCs w:val="22"/>
          <w:color w:val="auto"/>
        </w:rPr>
        <w:t>” means the treatment or prevention of a human patient who has received a cancer diagnosis.</w:t>
      </w:r>
    </w:p>
    <w:p>
      <w:pPr>
        <w:spacing w:after="0" w:line="20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1.62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 pending patent applications, issued patents, utility models and designs; (b) reissues,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substitutions, confirmations, registrations, validations, re-examinations,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Precigen</w:t>
      </w:r>
      <w:r>
        <w:rPr>
          <w:rFonts w:ascii="Times New Roman" w:cs="Times New Roman" w:eastAsia="Times New Roman" w:hAnsi="Times New Roman"/>
          <w:sz w:val="22"/>
          <w:szCs w:val="22"/>
          <w:color w:val="auto"/>
        </w:rPr>
        <w:t>” means the Virginia corporation, with its principal place of business at 20358 Seneca Meadows Parkway,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Germantown, MD 20876 along with its wholly owned subsidiaries and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1.64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Potential Claims</w:t>
      </w:r>
      <w:r>
        <w:rPr>
          <w:rFonts w:ascii="Times New Roman" w:cs="Times New Roman" w:eastAsia="Times New Roman" w:hAnsi="Times New Roman"/>
          <w:sz w:val="22"/>
          <w:szCs w:val="22"/>
          <w:color w:val="auto"/>
        </w:rPr>
        <w:t>” has the meaning set forth in Section 3.4(a).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Precigen Impact Situation</w:t>
      </w:r>
      <w:r>
        <w:rPr>
          <w:rFonts w:ascii="Times New Roman" w:cs="Times New Roman" w:eastAsia="Times New Roman" w:hAnsi="Times New Roman"/>
          <w:sz w:val="22"/>
          <w:szCs w:val="22"/>
          <w:color w:val="auto"/>
        </w:rPr>
        <w:t>” has the meaning set forth in Section 6.2(a).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Precigen Indemnitees</w:t>
      </w:r>
      <w:r>
        <w:rPr>
          <w:rFonts w:ascii="Times New Roman" w:cs="Times New Roman" w:eastAsia="Times New Roman" w:hAnsi="Times New Roman"/>
          <w:sz w:val="22"/>
          <w:szCs w:val="22"/>
          <w:color w:val="auto"/>
        </w:rPr>
        <w:t>” has the meaning set forth in Section 8.2.</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1.67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has the meaning set forth in Section 6.3(b).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means, as applicable, the TCR Program and the NK Cells and Gamma Delta T Cell Program.</w:t>
      </w:r>
    </w:p>
    <w:p>
      <w:pPr>
        <w:spacing w:after="0" w:line="20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1.69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that are necessary for the commercial sale of product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field in a given country or regulatory jurisdiction.</w:t>
      </w:r>
    </w:p>
    <w:p>
      <w:pPr>
        <w:spacing w:after="0" w:line="15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1.70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in a particular country or jurisdiction, any applicable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involved in granting Regulatory Approval in such country or jurisdiction.</w:t>
      </w:r>
    </w:p>
    <w:p>
      <w:pPr>
        <w:spacing w:after="0" w:line="15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1.71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regulatory applications, submissions, notifications,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correspondence, registrations, Regulatory Approvals and/or other filings made to, received from or otherwise conducted with a Regulatory Authority in order to Develop, manufacture, market, sell or otherwise Commercialize a Licensed Product in a particular country or jurisdiction.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color w:val="auto"/>
        </w:rPr>
        <w:t>” has the meaning set forth in Section 3.4(a).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Released Claims</w:t>
      </w:r>
      <w:r>
        <w:rPr>
          <w:rFonts w:ascii="Times New Roman" w:cs="Times New Roman" w:eastAsia="Times New Roman" w:hAnsi="Times New Roman"/>
          <w:sz w:val="22"/>
          <w:szCs w:val="22"/>
          <w:color w:val="auto"/>
        </w:rPr>
        <w:t>” has the meaning set forth in Section 3.4(a).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non-clinical studies of a product conducted before the filing of an IND for such product.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Sleeping Beauty Intellectual Property</w:t>
      </w:r>
      <w:r>
        <w:rPr>
          <w:rFonts w:ascii="Times New Roman" w:cs="Times New Roman" w:eastAsia="Times New Roman" w:hAnsi="Times New Roman"/>
          <w:sz w:val="22"/>
          <w:szCs w:val="22"/>
          <w:color w:val="auto"/>
        </w:rPr>
        <w:t>” means patent families [***] and [***] as detailed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1.76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any Third Party granted a sublicense, covenant not to sue, forbearance agreement, co-promotion agreement or other similar arrangement (a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by Alaunos to the rights licensed to Alaunos under Section 2.1(a) or Section 2.1(b).</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T-Cell</w:t>
      </w:r>
      <w:r>
        <w:rPr>
          <w:rFonts w:ascii="Times New Roman" w:cs="Times New Roman" w:eastAsia="Times New Roman" w:hAnsi="Times New Roman"/>
          <w:sz w:val="22"/>
          <w:szCs w:val="22"/>
          <w:color w:val="auto"/>
        </w:rPr>
        <w:t>” means a T-lymphocyte, including alpha beta T cells and gamma delta T cells.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1.78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TCR</w:t>
      </w:r>
      <w:r>
        <w:rPr>
          <w:rFonts w:ascii="Times New Roman" w:cs="Times New Roman" w:eastAsia="Times New Roman" w:hAnsi="Times New Roman"/>
          <w:sz w:val="22"/>
          <w:szCs w:val="22"/>
          <w:color w:val="auto"/>
        </w:rPr>
        <w:t>” means T-cell receptor complex.</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1.79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TCR Exclusive Product</w:t>
      </w:r>
      <w:r>
        <w:rPr>
          <w:rFonts w:ascii="Times New Roman" w:cs="Times New Roman" w:eastAsia="Times New Roman" w:hAnsi="Times New Roman"/>
          <w:sz w:val="22"/>
          <w:szCs w:val="22"/>
          <w:color w:val="auto"/>
        </w:rPr>
        <w:t>” means any biological product, process or therapy that includes a TCR for a Neo-antigen,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all forms, formulations, presentations, doses, administrations and package configurations.</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1.80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TCR Exclusive Program</w:t>
      </w:r>
      <w:r>
        <w:rPr>
          <w:rFonts w:ascii="Times New Roman" w:cs="Times New Roman" w:eastAsia="Times New Roman" w:hAnsi="Times New Roman"/>
          <w:sz w:val="22"/>
          <w:szCs w:val="22"/>
          <w:color w:val="auto"/>
        </w:rPr>
        <w:t>” means a program(s) of Research and Development focused on Developing TCRs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designed for Neo-antigens.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7" w:name="page68"/>
    <w:bookmarkEnd w:id="67"/>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TCR Non-Exclusive Product</w:t>
      </w:r>
      <w:r>
        <w:rPr>
          <w:rFonts w:ascii="Times New Roman" w:cs="Times New Roman" w:eastAsia="Times New Roman" w:hAnsi="Times New Roman"/>
          <w:sz w:val="22"/>
          <w:szCs w:val="22"/>
          <w:color w:val="auto"/>
        </w:rPr>
        <w:t>” means any biological product, process or therapy that is comprised of a TCR,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TCR Exclusive Products, including all forms, formulations, presentations, doses, administrations and package configurations.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TCR Products</w:t>
      </w:r>
      <w:r>
        <w:rPr>
          <w:rFonts w:ascii="Times New Roman" w:cs="Times New Roman" w:eastAsia="Times New Roman" w:hAnsi="Times New Roman"/>
          <w:sz w:val="22"/>
          <w:szCs w:val="22"/>
          <w:color w:val="auto"/>
        </w:rPr>
        <w:t>” means TCR Non-Exclusive Products and TCR Exclusive Products.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5.2(b).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all countries of the world.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entity other than Precigen or Alaunos or an Affiliate of either of them.</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Licenses</w:t>
      </w:r>
      <w:r>
        <w:rPr>
          <w:rFonts w:ascii="Times New Roman" w:cs="Times New Roman" w:eastAsia="Times New Roman" w:hAnsi="Times New Roman"/>
          <w:sz w:val="22"/>
          <w:szCs w:val="22"/>
          <w:color w:val="auto"/>
        </w:rPr>
        <w:t>” has the meaning set forth in Section 2.1(e).</w:t>
      </w:r>
    </w:p>
    <w:p>
      <w:pPr>
        <w:spacing w:after="0" w:line="20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w:t>
      </w:r>
      <w:r>
        <w:rPr>
          <w:rFonts w:ascii="Times New Roman" w:cs="Times New Roman" w:eastAsia="Times New Roman" w:hAnsi="Times New Roman"/>
          <w:sz w:val="22"/>
          <w:szCs w:val="22"/>
          <w:color w:val="auto"/>
        </w:rPr>
        <w:t>” means any word, name, symbol, color, shape, designation or device or any combination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trademark, service mark, trade name, trade dress, brand name, product configuration, domain name, logo, design or business symbol, that functions as an identifier of source, origin or membership, whether or not registered, and all statutory and common law rights therein, and all registrations and applications therefor, together with all goodwill associated with, or symbolized by, any of the foregoing.</w:t>
      </w:r>
    </w:p>
    <w:p>
      <w:pPr>
        <w:spacing w:after="0" w:line="17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1.88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Treat</w:t>
      </w:r>
      <w:r>
        <w:rPr>
          <w:rFonts w:ascii="Times New Roman" w:cs="Times New Roman" w:eastAsia="Times New Roman" w:hAnsi="Times New Roman"/>
          <w:sz w:val="22"/>
          <w:szCs w:val="22"/>
          <w:color w:val="auto"/>
        </w:rPr>
        <w:t>” means delivery of a therapy to a human patient who has received a cancer diagnosis for the treatment of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cancer, including the prevention of the reoccurrence of any such cancer. “</w:t>
      </w:r>
      <w:r>
        <w:rPr>
          <w:rFonts w:ascii="Times New Roman" w:cs="Times New Roman" w:eastAsia="Times New Roman" w:hAnsi="Times New Roman"/>
          <w:sz w:val="22"/>
          <w:szCs w:val="22"/>
          <w:b w:val="1"/>
          <w:bCs w:val="1"/>
          <w:color w:val="auto"/>
        </w:rPr>
        <w:t>Treatment</w:t>
      </w:r>
      <w:r>
        <w:rPr>
          <w:rFonts w:ascii="Times New Roman" w:cs="Times New Roman" w:eastAsia="Times New Roman" w:hAnsi="Times New Roman"/>
          <w:sz w:val="22"/>
          <w:szCs w:val="22"/>
          <w:color w:val="auto"/>
        </w:rPr>
        <w:t>” has its correlative meaning.</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1.89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including all possessions and territories thereof.</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1.90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of an issued, unexpired patent within the Licensed Patents that has not been revoked,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disclaimed, abandoned or held invalid or unenforceable by a court or other body of competent jurisdiction in an unappealed or unappealable decision.</w:t>
      </w:r>
    </w:p>
    <w:p>
      <w:pPr>
        <w:spacing w:after="0" w:line="1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Ziopharm Agreement</w:t>
      </w:r>
      <w:r>
        <w:rPr>
          <w:rFonts w:ascii="Times New Roman" w:cs="Times New Roman" w:eastAsia="Times New Roman" w:hAnsi="Times New Roman"/>
          <w:sz w:val="22"/>
          <w:szCs w:val="22"/>
          <w:color w:val="auto"/>
        </w:rPr>
        <w:t>” means that certain Exclusive Channel Partner Agreement by and between Intrexon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Ziopharm, dated January 6, 2011, as amended by the First Amendment to Exclusive Channel Partner Agreement effective September 13, 2011; the Second Amendment to the Exclusive Channel Partner Agreement effective March 27, 2015 (the “</w:t>
      </w:r>
      <w:r>
        <w:rPr>
          <w:rFonts w:ascii="Times New Roman" w:cs="Times New Roman" w:eastAsia="Times New Roman" w:hAnsi="Times New Roman"/>
          <w:sz w:val="22"/>
          <w:szCs w:val="22"/>
          <w:b w:val="1"/>
          <w:bCs w:val="1"/>
          <w:color w:val="auto"/>
        </w:rPr>
        <w:t>Second ECP Amendment</w:t>
      </w:r>
      <w:r>
        <w:rPr>
          <w:rFonts w:ascii="Times New Roman" w:cs="Times New Roman" w:eastAsia="Times New Roman" w:hAnsi="Times New Roman"/>
          <w:sz w:val="22"/>
          <w:szCs w:val="22"/>
          <w:color w:val="auto"/>
        </w:rPr>
        <w:t>”) and the Third Amendment to Exclusive Channel Partner Agreement effective June 29, 2016, as assigned by Intrexon to Precigen.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1.92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Alaunos Indemnitees</w:t>
      </w:r>
      <w:r>
        <w:rPr>
          <w:rFonts w:ascii="Times New Roman" w:cs="Times New Roman" w:eastAsia="Times New Roman" w:hAnsi="Times New Roman"/>
          <w:sz w:val="22"/>
          <w:szCs w:val="22"/>
          <w:color w:val="auto"/>
        </w:rPr>
        <w:t>” has the meaning set forth in Section 8.1.</w:t>
      </w: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LICENSES AND EXCLUSIVITY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2.1License to Alaunos for Licensed Products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8" w:name="page69"/>
    <w:bookmarkEnd w:id="68"/>
    <w:p>
      <w:pPr>
        <w:jc w:val="both"/>
        <w:ind w:firstLine="1505"/>
        <w:spacing w:after="0"/>
        <w:tabs>
          <w:tab w:leader="none" w:pos="2007"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 to Alaunos for Exclusive Products</w:t>
      </w:r>
      <w:r>
        <w:rPr>
          <w:rFonts w:ascii="Times New Roman" w:cs="Times New Roman" w:eastAsia="Times New Roman" w:hAnsi="Times New Roman"/>
          <w:sz w:val="22"/>
          <w:szCs w:val="22"/>
          <w:color w:val="auto"/>
        </w:rPr>
        <w:t>. Precigen hereby grants Alaunos a royalty-free, exclusive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(even as to Precigen and its Affiliates except as provided in Section 2.1(c) below), with the right to sublicense through multiple tiers in accordance with Section 2.1(d), under the Licensed Intellectual Property to research, develop, make, have made, use, sell, have sold, offer for sale and import Exclusive Products in the Field in the Territory.</w:t>
      </w:r>
    </w:p>
    <w:p>
      <w:pPr>
        <w:spacing w:after="0" w:line="174"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07"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 to Alaunos for Accessory Material Agents and Non-Exclusive Products</w:t>
      </w:r>
      <w:r>
        <w:rPr>
          <w:rFonts w:ascii="Times New Roman" w:cs="Times New Roman" w:eastAsia="Times New Roman" w:hAnsi="Times New Roman"/>
          <w:sz w:val="22"/>
          <w:szCs w:val="22"/>
          <w:color w:val="auto"/>
        </w:rPr>
        <w:t>. Precigen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Alaunos (i) a non-exclusive, royalty-free license, with the right to sublicense through multiple tiers in accordance with Section 2.1(d), under the Licensed Intellectual Property to research, develop, make, have made, use, sell, have sold, offer for sale and import Non-Exclusive Products in the Field in the Territory, and (ii) an exclusive, royalty-free license, with the right to sublicense in accordance with Section 2.1(d), under the Sleeping Beauty Intellectual Property to research, develop, make, have made, use, sell, have sold, offer for sale and import TCR Non-Exclusive Products in the Field in the Territory. For clarity, the foregoing license grant includes the right to make and have made Accessory Material Agents for use in connection with Licensed Products in the Field.</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tabs>
          <w:tab w:leader="none" w:pos="2007"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Precigen Retained Rights</w:t>
      </w:r>
      <w:r>
        <w:rPr>
          <w:rFonts w:ascii="Times New Roman" w:cs="Times New Roman" w:eastAsia="Times New Roman" w:hAnsi="Times New Roman"/>
          <w:sz w:val="22"/>
          <w:szCs w:val="22"/>
          <w:color w:val="auto"/>
        </w:rPr>
        <w:t>. Notwithstanding the rights granted to Alaunos in Section 2.1(a) and 2.1(b),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Precigen may research, develop, manufacture and Commercialize (i) products outside of the Exclusive Products in the Field in the Territory (subject to the grant of the exclusive license under the Sleeping Beauty Intellectual Property with respect to TCR Non-Exclusive Products in the Field) and (ii) products outside the Field.</w:t>
      </w:r>
    </w:p>
    <w:p>
      <w:pPr>
        <w:spacing w:after="0" w:line="174" w:lineRule="exact"/>
        <w:rPr>
          <w:rFonts w:ascii="Times New Roman" w:cs="Times New Roman" w:eastAsia="Times New Roman" w:hAnsi="Times New Roman"/>
          <w:sz w:val="22"/>
          <w:szCs w:val="22"/>
          <w:b w:val="1"/>
          <w:bCs w:val="1"/>
          <w:color w:val="auto"/>
        </w:rPr>
      </w:pPr>
    </w:p>
    <w:p>
      <w:pPr>
        <w:ind w:left="2020" w:hanging="515"/>
        <w:spacing w:after="0"/>
        <w:tabs>
          <w:tab w:leader="none" w:pos="20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Sublicenses; Assignments</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b w:val="1"/>
          <w:bCs w:val="1"/>
          <w:color w:val="auto"/>
        </w:rPr>
      </w:pPr>
    </w:p>
    <w:p>
      <w:pPr>
        <w:ind w:firstLine="2254"/>
        <w:spacing w:after="0" w:line="258" w:lineRule="auto"/>
        <w:tabs>
          <w:tab w:leader="none" w:pos="254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Alaunos may grant sublicenses through multiple tiers, under any or all of the rights granted in Section 2.1(a) and Section 2.1(b) to its Affiliates.</w:t>
      </w:r>
    </w:p>
    <w:p>
      <w:pPr>
        <w:spacing w:after="0" w:line="157" w:lineRule="exact"/>
        <w:rPr>
          <w:rFonts w:ascii="Times New Roman" w:cs="Times New Roman" w:eastAsia="Times New Roman" w:hAnsi="Times New Roman"/>
          <w:sz w:val="22"/>
          <w:szCs w:val="22"/>
          <w:b w:val="1"/>
          <w:bCs w:val="1"/>
          <w:color w:val="auto"/>
        </w:rPr>
      </w:pPr>
    </w:p>
    <w:p>
      <w:pPr>
        <w:jc w:val="both"/>
        <w:ind w:firstLine="2254"/>
        <w:spacing w:after="0" w:line="237" w:lineRule="auto"/>
        <w:tabs>
          <w:tab w:leader="none" w:pos="254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Alaunos may grant sublicenses through multiple tiers, under any or all of the rights granted in Section 2.1(a) and Section 2.1(b), to Third Parties solely to the extent reasonably necessary for contract manufacturing activities or Commercialization of Licensed Products with respect to any Licensed Product developed by or on behalf of Alaunos or its Affiliates, following which Alaunos will provide written notice of any such grant to Precigen within 10 business days of such grant.</w:t>
      </w:r>
    </w:p>
    <w:p>
      <w:pPr>
        <w:spacing w:after="0" w:line="176" w:lineRule="exact"/>
        <w:rPr>
          <w:sz w:val="20"/>
          <w:szCs w:val="20"/>
          <w:color w:val="auto"/>
        </w:rPr>
      </w:pPr>
    </w:p>
    <w:p>
      <w:pPr>
        <w:jc w:val="both"/>
        <w:ind w:firstLine="2246"/>
        <w:spacing w:after="0"/>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Alaunos may grant sublicenses through multiple tiers, under any or all of the rights granted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2.1(a) and Section 2.1(b), to Third Parties in connection with any Research, Development or Commercialization collaboration of such Exclusive Product or TCR Non-Exclusive Product, following which Alaunos will provide written notice of any such grant to Precigen within 10 business days of such grant.</w:t>
      </w:r>
    </w:p>
    <w:p>
      <w:pPr>
        <w:spacing w:after="0" w:line="175"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Except as set forth above, Alaunos shall not have the right to sublicense any or all of the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under this Agreement to Third Parties to Research, Develop, manufacture or Commercialize products of Third Parties without Precigen’s prior written consent.</w:t>
      </w:r>
    </w:p>
    <w:p>
      <w:pPr>
        <w:spacing w:after="0" w:line="170" w:lineRule="exact"/>
        <w:rPr>
          <w:sz w:val="20"/>
          <w:szCs w:val="20"/>
          <w:color w:val="auto"/>
        </w:rPr>
      </w:pPr>
    </w:p>
    <w:p>
      <w:pPr>
        <w:jc w:val="both"/>
        <w:ind w:firstLine="2254"/>
        <w:spacing w:after="0" w:line="244" w:lineRule="auto"/>
        <w:tabs>
          <w:tab w:leader="none" w:pos="254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agreement in which Alaunos grants a sublicense shall be consistent with the relevant terms and conditions of this Agreement and Alaunos shall provide such information as reasonably necessary to determine compliance with Section 2.1(d). Alaunos shall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9" w:name="page70"/>
    <w:bookmarkEnd w:id="69"/>
    <w:p>
      <w:pPr>
        <w:jc w:val="both"/>
        <w:spacing w:after="0" w:line="244" w:lineRule="auto"/>
        <w:rPr>
          <w:sz w:val="20"/>
          <w:szCs w:val="20"/>
          <w:color w:val="auto"/>
        </w:rPr>
      </w:pPr>
      <w:r>
        <w:rPr>
          <w:rFonts w:ascii="Times New Roman" w:cs="Times New Roman" w:eastAsia="Times New Roman" w:hAnsi="Times New Roman"/>
          <w:sz w:val="22"/>
          <w:szCs w:val="22"/>
          <w:color w:val="auto"/>
        </w:rPr>
        <w:t>remain responsible for the compliance of its Sublicensees with the terms and conditions of this Agreement. Breach by Alaunos’ Sublicensees shall be a breach by Alaunos. Alaunos will provide Precigen a quarterly update, if any with respect to terminations or modifications of sublicenses granted under Section 2.1(d).</w:t>
      </w:r>
    </w:p>
    <w:p>
      <w:pPr>
        <w:spacing w:after="0" w:line="168" w:lineRule="exact"/>
        <w:rPr>
          <w:sz w:val="20"/>
          <w:szCs w:val="20"/>
          <w:color w:val="auto"/>
        </w:rPr>
      </w:pPr>
    </w:p>
    <w:p>
      <w:pPr>
        <w:jc w:val="both"/>
        <w:ind w:firstLine="1505"/>
        <w:spacing w:after="0" w:line="260" w:lineRule="auto"/>
        <w:tabs>
          <w:tab w:leader="none" w:pos="2007"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Licenses</w:t>
      </w:r>
      <w:r>
        <w:rPr>
          <w:rFonts w:ascii="Times New Roman" w:cs="Times New Roman" w:eastAsia="Times New Roman" w:hAnsi="Times New Roman"/>
          <w:sz w:val="20"/>
          <w:szCs w:val="20"/>
          <w:color w:val="auto"/>
        </w:rPr>
        <w:t>. All Licensed Intellectual Property licensed to Precigen from a Third Party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sublicensed to Alaunos under this Agreement are subject to and subordinate to the terms of the applicable license agreements with Third Parties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Third Party Licenses</w:t>
      </w:r>
      <w:r>
        <w:rPr>
          <w:rFonts w:ascii="Times New Roman" w:cs="Times New Roman" w:eastAsia="Times New Roman" w:hAnsi="Times New Roman"/>
          <w:sz w:val="20"/>
          <w:szCs w:val="20"/>
          <w:color w:val="auto"/>
        </w:rPr>
        <w:t>”). Each Party will fully comply with the terms of any such Third Party License, and Alaunos shall remain solely responsible for the payment of any royalty, milestone, and other payment obligations, if any, due to Third Parties in connection with exercise of the licenses granted to Alaunos under this Agreement. Alaunos shall make all such payments timely in accordance with the terms of the applicable Third Party license. Precigen covenants not to, without the prior written consent of Alaunos, amend any Third Party License in such a manner that would diminish the rights granted to Alaunos under this Agreement, materially change any obligations under such Third Party License that would impact Alaunos hereunder or increase any payment obligation of Alaunos pursuant to such Third Party License.</w:t>
      </w:r>
    </w:p>
    <w:p>
      <w:pPr>
        <w:spacing w:after="0" w:line="15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2.2Exclusivity</w:t>
      </w:r>
      <w:r>
        <w:rPr>
          <w:rFonts w:ascii="Times New Roman" w:cs="Times New Roman" w:eastAsia="Times New Roman" w:hAnsi="Times New Roman"/>
          <w:sz w:val="22"/>
          <w:szCs w:val="22"/>
          <w:color w:val="auto"/>
        </w:rPr>
        <w:t>. Precigen hereby covenants that, during the Patent Term, neither it nor its Affiliates will (a) grant or offer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license or other rights to a Third Party, or otherwise discuss or negotiate with any Third Party the terms of any such license or rights, or (b) conduct any activities, whether independently or with or for the benefit of a Third Party, in each case of (a) and (b) with respect to the use of any Licensed Intellectual Property to research, develop, manufacture or Commercialize any Exclusive Product in the Field or with respect to the use of any Sleeping Beauty Intellectual Property as Covered by [***] and [***] to research, develop, manufacture or Commercialize any TCR Product in the Field.</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2.3Development Responsibilities</w:t>
      </w:r>
      <w:r>
        <w:rPr>
          <w:rFonts w:ascii="Times New Roman" w:cs="Times New Roman" w:eastAsia="Times New Roman" w:hAnsi="Times New Roman"/>
          <w:sz w:val="22"/>
          <w:szCs w:val="22"/>
          <w:color w:val="auto"/>
        </w:rPr>
        <w:t>. Alaunos will have the exclusive right to conduct, and be solely responsible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aspects of, the Research, Development and manufacture of Licensed Products and setting the regulatory strategy for seeking Regulatory Approvals for Licensed Products in the Field in the Territory.</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2.4Regulatory Responsibilities</w:t>
      </w:r>
      <w:r>
        <w:rPr>
          <w:rFonts w:ascii="Times New Roman" w:cs="Times New Roman" w:eastAsia="Times New Roman" w:hAnsi="Times New Roman"/>
          <w:sz w:val="22"/>
          <w:szCs w:val="22"/>
          <w:color w:val="auto"/>
        </w:rPr>
        <w:t>. Alaunos shall have the exclusive right to prepare and shall own all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(including all INDs, BLAs, NDAs, MAAs and Regulatory Approvals) for each Licensed Product in the Field in the Territory.</w:t>
      </w:r>
    </w:p>
    <w:p>
      <w:pPr>
        <w:spacing w:after="0" w:line="1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2.5Commercialization Responsibilities</w:t>
      </w:r>
      <w:r>
        <w:rPr>
          <w:rFonts w:ascii="Times New Roman" w:cs="Times New Roman" w:eastAsia="Times New Roman" w:hAnsi="Times New Roman"/>
          <w:sz w:val="22"/>
          <w:szCs w:val="22"/>
          <w:color w:val="auto"/>
        </w:rPr>
        <w:t>. Alaunos will have the exclusive right to conduct in its sole discretion,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responsible for all aspects of, the Commercialization of Licensed Products in the Field in the Territory, including: (a) developing and executing a commercial launch and pre-launch plan, (b) negotiating with applicable Governmental Authorities regarding the price and reimbursement status of Licensed Products; (c) marketing and promotion; (d) booking sales and distribution and performance of related services; (e) handling all aspects of order processing, invoicing and collection, inventory and receivables; (f) providing customer support, including handling medical queries, and performing other related functions; (g) conforming its practices and procedures to applicable Laws relating to the marketing, detailing and promotion of Licensed Products in the Territory; and (h) manufacturing of Licensed Products for commercial use.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0" w:name="page71"/>
    <w:bookmarkEnd w:id="70"/>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2.6Development and Commercialization</w:t>
      </w:r>
      <w:r>
        <w:rPr>
          <w:rFonts w:ascii="Times New Roman" w:cs="Times New Roman" w:eastAsia="Times New Roman" w:hAnsi="Times New Roman"/>
          <w:sz w:val="22"/>
          <w:szCs w:val="22"/>
          <w:color w:val="auto"/>
        </w:rPr>
        <w:t>. As of the Effective Date, Alaunos shall have no obligation to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or Commercialize Licensed Products and shall not be liable to Precigen for any failure to do so.</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2.7No Implied Licenses</w:t>
      </w:r>
      <w:r>
        <w:rPr>
          <w:rFonts w:ascii="Times New Roman" w:cs="Times New Roman" w:eastAsia="Times New Roman" w:hAnsi="Times New Roman"/>
          <w:sz w:val="22"/>
          <w:szCs w:val="22"/>
          <w:color w:val="auto"/>
        </w:rPr>
        <w:t>. Except as explicitly set forth in this Agreement, neither Party shall be deemed by estoppel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implication to have granted the other Party any license or other right to any intellectual property of such Party. Precigen specifically reserves all rights not expressly granted to Alaunos under this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EXISTING AGREEMENTS</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3.1Termination of Exclusive License Agreement</w:t>
      </w:r>
      <w:r>
        <w:rPr>
          <w:rFonts w:ascii="Times New Roman" w:cs="Times New Roman" w:eastAsia="Times New Roman" w:hAnsi="Times New Roman"/>
          <w:sz w:val="22"/>
          <w:szCs w:val="22"/>
          <w:color w:val="auto"/>
        </w:rPr>
        <w:t>. The Parties hereby agree to amend and restate the ELA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replace it in its entirety with this Agreement. The Parties acknowledge that the necessary assignments and transition services required under the ELA Agreement have been completed.</w:t>
      </w:r>
    </w:p>
    <w:p>
      <w:pPr>
        <w:spacing w:after="0" w:line="1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3.2Termination of Ziopharm Agreement</w:t>
      </w:r>
      <w:r>
        <w:rPr>
          <w:rFonts w:ascii="Times New Roman" w:cs="Times New Roman" w:eastAsia="Times New Roman" w:hAnsi="Times New Roman"/>
          <w:sz w:val="22"/>
          <w:szCs w:val="22"/>
          <w:color w:val="auto"/>
        </w:rPr>
        <w:t>. The Parties previously agreed under the ELA Agreement to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Ziopharm Agreement, and the termination of such agreement shall continue. Accordingly, all rights and licenses granted by Intrexon to Alaunos under the Ziopharm Agreement and all rights and licenses granted by Alaunos to Intrexon, such rights and licenses assigned by Intrexon to Precigen, under the Ziopharm Agreement shall terminate. For clarity, the Parties acknowledge and agree that the provisions of Section 10.4 of the Ziopharm Agreement did not apply to this termination of the Ziopharm Agreement by mutual written consent. Section 6.1 of the Second ECP Amendment did not survive termination of the Ziopharm Agreement. In the event of any conflict between the surviving terms of the Ziopharm Agreement and the terms of this Agreement, the terms of this Agreement shall control.</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3.3MDACC Research Agreement and 2015 MDACC License</w:t>
      </w:r>
      <w:r>
        <w:rPr>
          <w:rFonts w:ascii="Times New Roman" w:cs="Times New Roman" w:eastAsia="Times New Roman" w:hAnsi="Times New Roman"/>
          <w:sz w:val="22"/>
          <w:szCs w:val="22"/>
          <w:color w:val="auto"/>
        </w:rPr>
        <w:t>. Precigen shall retain rights to all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materials received through the MDACC Research Agreement and 2015 MDACC License prior to the October 5, 2018, such right being licensed herein as part of the Licensed Intellectual Property.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3.4Mutual Release and Covenant Not to Sue</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1505"/>
        <w:spacing w:after="0" w:line="234" w:lineRule="auto"/>
        <w:tabs>
          <w:tab w:leader="none" w:pos="2007"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on behalf of themselves, their predecessors, successors, direct and indirect parent companies, direct and indirect subsidiary companies, companies under common control with any of the foregoing, affiliates and assigns, and its and their past, present, and future officers, directors, shareholders, interest holders, members, partners, attorneys, agents, employees, insurers, managers, representatives, assigns and successors in interest, and all persons acting by, through, under or in concert with them, and each of them, hereby release and discharge the other Parties, together with their predecessors, successors, direct and indirect parent companies, direct and indirect subsidiary companies, companies under common control with any of the foregoing, affiliates and assigns and its and their past, present, and future officers, directors, shareholders, interest holders, members, partners, attorneys, agents, employees, managers, representatives, assigns and successors in interest, and all persons acting by, through, under or in concert with them, and each of them (the Parties’ “</w:t>
      </w:r>
      <w:r>
        <w:rPr>
          <w:rFonts w:ascii="Times New Roman" w:cs="Times New Roman" w:eastAsia="Times New Roman" w:hAnsi="Times New Roman"/>
          <w:sz w:val="22"/>
          <w:szCs w:val="22"/>
          <w:b w:val="1"/>
          <w:bCs w:val="1"/>
          <w:color w:val="auto"/>
        </w:rPr>
        <w:t>Releasees</w:t>
      </w:r>
      <w:r>
        <w:rPr>
          <w:rFonts w:ascii="Times New Roman" w:cs="Times New Roman" w:eastAsia="Times New Roman" w:hAnsi="Times New Roman"/>
          <w:sz w:val="22"/>
          <w:szCs w:val="22"/>
          <w:color w:val="auto"/>
        </w:rPr>
        <w:t>”, as applicable), from all known and unknown charges,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1" w:name="page72"/>
    <w:bookmarkEnd w:id="71"/>
    <w:p>
      <w:pPr>
        <w:jc w:val="both"/>
        <w:spacing w:after="0" w:line="234" w:lineRule="auto"/>
        <w:rPr>
          <w:sz w:val="20"/>
          <w:szCs w:val="20"/>
          <w:color w:val="auto"/>
        </w:rPr>
      </w:pPr>
      <w:r>
        <w:rPr>
          <w:rFonts w:ascii="Times New Roman" w:cs="Times New Roman" w:eastAsia="Times New Roman" w:hAnsi="Times New Roman"/>
          <w:sz w:val="22"/>
          <w:szCs w:val="22"/>
          <w:color w:val="auto"/>
        </w:rPr>
        <w:t>complaints, claims, grievances, liabilities, obligations, promises, agreements, controversies, damages, actions, causes of action, suits, rights, demands, costs, losses, debts, penalties, fees, wages, medical costs, pain and suffering, mental anguish, emotional distress, expenses (including attorneys’ fees and costs actually incurred) and punitive damages, of any nature whatsoever, known or unknown, which either Party has, or may have had, against the other Party, whether or not apparent or yet to be discovered, or which may hereafter develop (“</w:t>
      </w:r>
      <w:r>
        <w:rPr>
          <w:rFonts w:ascii="Times New Roman" w:cs="Times New Roman" w:eastAsia="Times New Roman" w:hAnsi="Times New Roman"/>
          <w:sz w:val="22"/>
          <w:szCs w:val="22"/>
          <w:b w:val="1"/>
          <w:bCs w:val="1"/>
          <w:color w:val="auto"/>
        </w:rPr>
        <w:t>Potential Claims</w:t>
      </w:r>
      <w:r>
        <w:rPr>
          <w:rFonts w:ascii="Times New Roman" w:cs="Times New Roman" w:eastAsia="Times New Roman" w:hAnsi="Times New Roman"/>
          <w:sz w:val="22"/>
          <w:szCs w:val="22"/>
          <w:color w:val="auto"/>
        </w:rPr>
        <w:t>”), for any acts or omissions, prior to the Effective Date, related to or arising from the ELA Agreement, the Ziopharm Agreement, including but not limited to the Second ECP Amendment, the Merck Agreement, the MDAAC Research Agreement, and each other agreement between Ziopharm and either Precigen or Intrexon, (the “</w:t>
      </w:r>
      <w:r>
        <w:rPr>
          <w:rFonts w:ascii="Times New Roman" w:cs="Times New Roman" w:eastAsia="Times New Roman" w:hAnsi="Times New Roman"/>
          <w:sz w:val="22"/>
          <w:szCs w:val="22"/>
          <w:b w:val="1"/>
          <w:bCs w:val="1"/>
          <w:color w:val="auto"/>
        </w:rPr>
        <w:t>Released Claims</w:t>
      </w:r>
      <w:r>
        <w:rPr>
          <w:rFonts w:ascii="Times New Roman" w:cs="Times New Roman" w:eastAsia="Times New Roman" w:hAnsi="Times New Roman"/>
          <w:sz w:val="22"/>
          <w:szCs w:val="22"/>
          <w:color w:val="auto"/>
        </w:rPr>
        <w:t>”). For avoidance of doubt, the Released Claims shall not include any Potential Claims: (a) for acts or omissions that occur on or after the Effective Date or (b) related to or arising from any rights or obligations set forth in this Agreement.</w:t>
      </w:r>
    </w:p>
    <w:p>
      <w:pPr>
        <w:spacing w:after="0" w:line="176" w:lineRule="exact"/>
        <w:rPr>
          <w:sz w:val="20"/>
          <w:szCs w:val="20"/>
          <w:color w:val="auto"/>
        </w:rPr>
      </w:pPr>
    </w:p>
    <w:p>
      <w:pPr>
        <w:jc w:val="both"/>
        <w:ind w:firstLine="1505"/>
        <w:spacing w:after="0" w:line="244" w:lineRule="auto"/>
        <w:tabs>
          <w:tab w:leader="none" w:pos="200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Party agrees and hereby covenants that it will not, directly or indirectly, on its own behalf or acting on behalf of or through any other person or entity, initiate or maintain any lawsuit, arbitration or other proceeding, whether legal or equitable, against any other Party or its Releasees, arising from or related to the Released Claims.</w:t>
      </w:r>
    </w:p>
    <w:p>
      <w:pPr>
        <w:spacing w:after="0" w:line="172"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07"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Alaunos hereby grants to Precigen a covenant not to sue for infringement for Precigen’s Development or Commercialization of the Formerly Licensed Products based on any patent application filed by Alaunos prior to the Effective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TECHNOLOGY AND INVENTORY TRANSFER; REGULATORY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4.1Transfer of Licensed Know-How; Ongoing Transfers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1505"/>
        <w:spacing w:after="0" w:line="261" w:lineRule="auto"/>
        <w:tabs>
          <w:tab w:leader="none" w:pos="2007"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Precigen Transfer to Alaunos</w:t>
      </w:r>
      <w:r>
        <w:rPr>
          <w:rFonts w:ascii="Times New Roman" w:cs="Times New Roman" w:eastAsia="Times New Roman" w:hAnsi="Times New Roman"/>
          <w:sz w:val="22"/>
          <w:szCs w:val="22"/>
          <w:color w:val="auto"/>
        </w:rPr>
        <w:t>. All technology transfer and assignments due to Alaunos under the ELA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complete.</w:t>
      </w:r>
    </w:p>
    <w:p>
      <w:pPr>
        <w:spacing w:after="0" w:line="150"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07"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Alaunos Transfer to Precigen</w:t>
      </w:r>
      <w:r>
        <w:rPr>
          <w:rFonts w:ascii="Times New Roman" w:cs="Times New Roman" w:eastAsia="Times New Roman" w:hAnsi="Times New Roman"/>
          <w:sz w:val="22"/>
          <w:szCs w:val="22"/>
          <w:color w:val="auto"/>
        </w:rPr>
        <w:t>. Within the sixty (60) day period following the Effective Date, Alaunos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provide Precigen copies of all electronic regulatory files, FDA communications and material data Information and materials including Accessory Material Agents solely relating to any of the Formerly Licensed Products previously developed by Alaunos, in each case that are in Alaunos’ possession and Control, to the extent available to current employees of Alaunos after a reasonable search. Alaunos hereby grants to Precigen a right to reference all data Controlled by Alaunos as of the Effective Date solely pertaining to any of the Formerly Licensed Products previously developed by Alaunos. Alaunos agrees to execute any reasonable formalized letter necessary to grant Precigen’s right of reference. With respect to hard copy of documents related to the Formerly Licensed Products, the Parties will work to complete any transfer or destruction (other than anything required for retention by the FDA) within six (6) months of the Effective Date.</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4.2Historical GMP Materials and IL-12 Product Supply; Required Retention and Inventory Destruction</w:t>
      </w:r>
      <w:r>
        <w:rPr>
          <w:rFonts w:ascii="Times New Roman" w:cs="Times New Roman" w:eastAsia="Times New Roman" w:hAnsi="Times New Roman"/>
          <w:sz w:val="22"/>
          <w:szCs w:val="22"/>
          <w:color w:val="auto"/>
        </w:rPr>
        <w:t>.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applicable statutes, regulations and written directives of the FDA, including which may require retention of information and samples of materials,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2" w:name="page73"/>
    <w:bookmarkEnd w:id="72"/>
    <w:p>
      <w:pPr>
        <w:jc w:val="both"/>
        <w:spacing w:after="0" w:line="236" w:lineRule="auto"/>
        <w:rPr>
          <w:sz w:val="20"/>
          <w:szCs w:val="20"/>
          <w:color w:val="auto"/>
        </w:rPr>
      </w:pPr>
      <w:r>
        <w:rPr>
          <w:rFonts w:ascii="Times New Roman" w:cs="Times New Roman" w:eastAsia="Times New Roman" w:hAnsi="Times New Roman"/>
          <w:sz w:val="22"/>
          <w:szCs w:val="22"/>
          <w:color w:val="auto"/>
        </w:rPr>
        <w:t>Alaunos shall be responsible for the destruction of its existing inventory of GMP materials related to CD-19, BCMA, and the IL-12 Product (including all final product, drug substance, intermediates, works-in-process, formulation materials, reference standards, drug product clinical reserve samples, packaged retention samples, and the like) that is then in the possession and Control of Alaunos or its Affiliates or Sublicensees, and shall provide notice of such destruction within sixty (60) days of confirmation by Precigen it does not wish to have any such materials transferred at Precigen request and cost. Precigen shall notify Alaunos with respect to such materials no later than sixty (60) days from the Effective Date.</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4.3DMF Transfer</w:t>
      </w:r>
      <w:r>
        <w:rPr>
          <w:rFonts w:ascii="Times New Roman" w:cs="Times New Roman" w:eastAsia="Times New Roman" w:hAnsi="Times New Roman"/>
          <w:sz w:val="22"/>
          <w:szCs w:val="22"/>
          <w:color w:val="auto"/>
        </w:rPr>
        <w:t>. Within sixty (60) days following the Effective Date, Alaunos will execute documents necessary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 or transfer the right to reference and use any Drug Master Files (DMFs) solely related to the Formerly Licensed Products developed by Alaunos, in each case that are in Alaunos’ possession and Control, after a reasonable search.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5.1Annual Licensing Payments</w:t>
      </w:r>
      <w:r>
        <w:rPr>
          <w:rFonts w:ascii="Times New Roman" w:cs="Times New Roman" w:eastAsia="Times New Roman" w:hAnsi="Times New Roman"/>
          <w:sz w:val="22"/>
          <w:szCs w:val="22"/>
          <w:color w:val="auto"/>
        </w:rPr>
        <w:t>. Within five (5) Business Days after October 5, 2023 and each anniversary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during the Patent Term, Alaunos shall pay to Precigen an annual license payment of seventy-five thousand Dollars ($75,000).</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5.2No Alaunos Royalties on Licensed Products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1505"/>
        <w:spacing w:after="0" w:line="261" w:lineRule="auto"/>
        <w:tabs>
          <w:tab w:leader="none" w:pos="2007"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Alaunos Exclusive and Non-Exclusive Products</w:t>
      </w:r>
      <w:r>
        <w:rPr>
          <w:rFonts w:ascii="Times New Roman" w:cs="Times New Roman" w:eastAsia="Times New Roman" w:hAnsi="Times New Roman"/>
          <w:sz w:val="22"/>
          <w:szCs w:val="22"/>
          <w:color w:val="auto"/>
        </w:rPr>
        <w:t>. Alaunos shall not owe royalties to Precigen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 or sublicensing of any Exclusive or Non-Exclusive Product.</w:t>
      </w:r>
    </w:p>
    <w:p>
      <w:pPr>
        <w:spacing w:after="0" w:line="150"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07"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with respect to the Licensed Patents shall be until the expiration or abandonment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last-to-expire Valid Claim in such country Covering such Licensed Product (a “</w:t>
      </w:r>
      <w:r>
        <w:rPr>
          <w:rFonts w:ascii="Times New Roman" w:cs="Times New Roman" w:eastAsia="Times New Roman" w:hAnsi="Times New Roman"/>
          <w:sz w:val="22"/>
          <w:szCs w:val="22"/>
          <w:b w:val="1"/>
          <w:bCs w:val="1"/>
          <w:color w:val="auto"/>
        </w:rPr>
        <w:t>Covering Claim</w:t>
      </w:r>
      <w:r>
        <w:rPr>
          <w:rFonts w:ascii="Times New Roman" w:cs="Times New Roman" w:eastAsia="Times New Roman" w:hAnsi="Times New Roman"/>
          <w:sz w:val="22"/>
          <w:szCs w:val="22"/>
          <w:color w:val="auto"/>
        </w:rPr>
        <w:t>” in such country for such Licensed Product) (the “</w:t>
      </w:r>
      <w:r>
        <w:rPr>
          <w:rFonts w:ascii="Times New Roman" w:cs="Times New Roman" w:eastAsia="Times New Roman" w:hAnsi="Times New Roman"/>
          <w:sz w:val="22"/>
          <w:szCs w:val="22"/>
          <w:b w:val="1"/>
          <w:bCs w:val="1"/>
          <w:color w:val="auto"/>
        </w:rPr>
        <w:t>Patent Term</w:t>
      </w:r>
      <w:r>
        <w:rPr>
          <w:rFonts w:ascii="Times New Roman" w:cs="Times New Roman" w:eastAsia="Times New Roman" w:hAnsi="Times New Roman"/>
          <w:sz w:val="22"/>
          <w:szCs w:val="22"/>
          <w:color w:val="auto"/>
        </w:rPr>
        <w:t>”). The Term with respect to the Licensed Know-How shall be royalty-fee, perpetual and irrevocable following the Term of the subject Licensed Patents (“</w:t>
      </w:r>
      <w:r>
        <w:rPr>
          <w:rFonts w:ascii="Times New Roman" w:cs="Times New Roman" w:eastAsia="Times New Roman" w:hAnsi="Times New Roman"/>
          <w:sz w:val="22"/>
          <w:szCs w:val="22"/>
          <w:b w:val="1"/>
          <w:bCs w:val="1"/>
          <w:color w:val="auto"/>
        </w:rPr>
        <w:t>Perpetual Licensed Know-How</w:t>
      </w:r>
      <w:r>
        <w:rPr>
          <w:rFonts w:ascii="Times New Roman" w:cs="Times New Roman" w:eastAsia="Times New Roman" w:hAnsi="Times New Roman"/>
          <w:sz w:val="22"/>
          <w:szCs w:val="22"/>
          <w:color w:val="auto"/>
        </w:rPr>
        <w:t>”). Notwithstanding the license grant, following expiration of the Patent Term on a case-by-case, country-by-country basis, the Perpetual Licensed Know-How will become non-exclusive.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5.3No Precigen Royalties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Precigen shall not owe any royalties to Alaunos for any products.</w:t>
      </w:r>
    </w:p>
    <w:p>
      <w:pPr>
        <w:spacing w:after="0" w:line="20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5.4Taxes on Income. </w:t>
      </w:r>
      <w:r>
        <w:rPr>
          <w:rFonts w:ascii="Times New Roman" w:cs="Times New Roman" w:eastAsia="Times New Roman" w:hAnsi="Times New Roman"/>
          <w:sz w:val="22"/>
          <w:szCs w:val="22"/>
          <w:color w:val="auto"/>
        </w:rPr>
        <w:t>Each Party shall be solely responsible for the payment of all taxes imposed on its income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from the efforts of the Parties under this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MATTERS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6.1Ownership of Inventions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3" w:name="page74"/>
    <w:bookmarkEnd w:id="73"/>
    <w:p>
      <w:pPr>
        <w:jc w:val="both"/>
        <w:ind w:left="-8" w:firstLine="1505"/>
        <w:spacing w:after="0" w:line="246" w:lineRule="auto"/>
        <w:tabs>
          <w:tab w:leader="none" w:pos="1999"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Activities by Alaunos. </w:t>
      </w:r>
      <w:r>
        <w:rPr>
          <w:rFonts w:ascii="Times New Roman" w:cs="Times New Roman" w:eastAsia="Times New Roman" w:hAnsi="Times New Roman"/>
          <w:sz w:val="22"/>
          <w:szCs w:val="22"/>
          <w:color w:val="auto"/>
        </w:rPr>
        <w:t>Unless provided for otherwise herein, Alaunos shall own all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whether or not patentable, made in the course of Alaunos’ Research, Development, manufacture and Commercialization of Licensed Products after the Effective Date.</w:t>
      </w:r>
    </w:p>
    <w:p>
      <w:pPr>
        <w:spacing w:after="0" w:line="165" w:lineRule="exact"/>
        <w:rPr>
          <w:rFonts w:ascii="Times New Roman" w:cs="Times New Roman" w:eastAsia="Times New Roman" w:hAnsi="Times New Roman"/>
          <w:sz w:val="22"/>
          <w:szCs w:val="22"/>
          <w:b w:val="1"/>
          <w:bCs w:val="1"/>
          <w:color w:val="auto"/>
        </w:rPr>
      </w:pPr>
    </w:p>
    <w:p>
      <w:pPr>
        <w:jc w:val="both"/>
        <w:ind w:left="-8" w:firstLine="1505"/>
        <w:spacing w:after="0" w:line="235" w:lineRule="auto"/>
        <w:tabs>
          <w:tab w:leader="none" w:pos="1999"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Alaunos Veledimex Alterations</w:t>
      </w:r>
      <w:r>
        <w:rPr>
          <w:rFonts w:ascii="Times New Roman" w:cs="Times New Roman" w:eastAsia="Times New Roman" w:hAnsi="Times New Roman"/>
          <w:sz w:val="22"/>
          <w:szCs w:val="22"/>
          <w:color w:val="auto"/>
        </w:rPr>
        <w:t>. Precigen shall own all Alaunos Veledimex Alterations,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patentable, made in the course of Alaunos’ Research, Development, manufacture and Commercialization of Formerly Licensed Products. Alaunos hereby assigns to Precigen any and all right, title and interest it may have in any such Alaunos Veledimex Alterations, and agrees to take such further actions as reasonably requested by Precigen to evidence such assignment. Alaunos will require all of its employees, consultants, agents and contractors, and will cause its Affiliates and subcontractors to require all of their employees, consultants, agents and contractors to assign all Alaunos Veledimex Alterations that are conceived, generated or otherwise made by such employees, consultants, agents and contractors to it, respectively, for further assignment according to the ownership principles described in this Section 6.1(b).</w:t>
      </w:r>
    </w:p>
    <w:p>
      <w:pPr>
        <w:spacing w:after="0" w:line="17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b w:val="1"/>
          <w:bCs w:val="1"/>
          <w:color w:val="auto"/>
        </w:rPr>
        <w:t>6.2Prosecution of Licensed Patents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8" w:firstLine="1505"/>
        <w:spacing w:after="0" w:line="255" w:lineRule="auto"/>
        <w:tabs>
          <w:tab w:leader="none" w:pos="1999" w:val="left"/>
        </w:tabs>
        <w:numPr>
          <w:ilvl w:val="1"/>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Generally</w:t>
      </w:r>
      <w:r>
        <w:rPr>
          <w:rFonts w:ascii="Times New Roman" w:cs="Times New Roman" w:eastAsia="Times New Roman" w:hAnsi="Times New Roman"/>
          <w:sz w:val="20"/>
          <w:szCs w:val="20"/>
          <w:color w:val="auto"/>
        </w:rPr>
        <w:t>. Subject to Section 6.2(b), as between the Parties, Precigen shall have the right, but not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prepare, file, prosecute and maintain the Licensed Patents in the Territory. As between the Parties, Precigen shall bear all costs incurred by Precigen in connection with the preparation, filing, prosecution or maintenance of any Licensed Patent. Precigen shall consult with Alaunos and keep Alaunos reasonably informed of the status of the Licensed Patents and shall promptly provide Alaunos with copies of all material correspondence received from any patent authority in connection therewith to the extent not publicly available. In addition, Precigen shall timely provide Alaunos with drafts of all proposed filings and correspondence to any patent authority with respect to the Licensed Patents (which could reasonably be considered to Cover a Licensed Product) in the Field for Alaunos’ review and comment prior to the submission of such proposed filings and correspondence. Precigen shall confer with Alaunos and incorporate Alaunos’ comments prior to submitting such filings and correspondence, provided, that Alaunos’ comments do not require Precigen to take any action in connection with the Licensed Patents that could reasonably be expected to adversely affect Precigen’s or its Affiliate’s Development or Commercialization of</w:t>
      </w:r>
    </w:p>
    <w:p>
      <w:pPr>
        <w:spacing w:after="0" w:line="9" w:lineRule="exact"/>
        <w:rPr>
          <w:rFonts w:ascii="Times New Roman" w:cs="Times New Roman" w:eastAsia="Times New Roman" w:hAnsi="Times New Roman"/>
          <w:sz w:val="20"/>
          <w:szCs w:val="20"/>
          <w:b w:val="1"/>
          <w:bCs w:val="1"/>
          <w:color w:val="auto"/>
        </w:rPr>
      </w:pPr>
    </w:p>
    <w:p>
      <w:pPr>
        <w:jc w:val="both"/>
        <w:ind w:left="-8" w:firstLine="8"/>
        <w:spacing w:after="0" w:line="231" w:lineRule="auto"/>
        <w:tabs>
          <w:tab w:leader="none" w:pos="27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 (other than Licensed Products) claimed by such Licensed Patent inside or outside the Field in the Territory or (ii) Licensed Products claimed by such Licensed Patent outside the Field in the Territory (a “</w:t>
      </w:r>
      <w:r>
        <w:rPr>
          <w:rFonts w:ascii="Times New Roman" w:cs="Times New Roman" w:eastAsia="Times New Roman" w:hAnsi="Times New Roman"/>
          <w:sz w:val="22"/>
          <w:szCs w:val="22"/>
          <w:b w:val="1"/>
          <w:bCs w:val="1"/>
          <w:color w:val="auto"/>
        </w:rPr>
        <w:t>Precigen Impact Situation</w:t>
      </w:r>
      <w:r>
        <w:rPr>
          <w:rFonts w:ascii="Times New Roman" w:cs="Times New Roman" w:eastAsia="Times New Roman" w:hAnsi="Times New Roman"/>
          <w:sz w:val="22"/>
          <w:szCs w:val="22"/>
          <w:color w:val="auto"/>
        </w:rPr>
        <w:t>”). If in either Party’s opinion, a Precigen Impact Situation could arise, such Party will promptly notify the other Party and the Parties shall discuss in good faith. Precigen shall have final decision authority with respect to whether or not to incorporate such comments. The Parties will work together to first determine if such claim could reasonably be considered to Cover a Licensed Product in the Field. If the claims in the pending case are determined not to Cover a Licensed Product, Precigen will not have an obligation to share prosecution for comment as opposed to for information only. However, if Precigen broadens the scope of the claims or files a continuation or divisional Precigen and Alaunos will again evaluate the claims to determine if the pending case Covers a Licensed Product.</w:t>
      </w:r>
    </w:p>
    <w:p>
      <w:pPr>
        <w:spacing w:after="0" w:line="180" w:lineRule="exact"/>
        <w:rPr>
          <w:rFonts w:ascii="Times New Roman" w:cs="Times New Roman" w:eastAsia="Times New Roman" w:hAnsi="Times New Roman"/>
          <w:sz w:val="22"/>
          <w:szCs w:val="22"/>
          <w:color w:val="auto"/>
        </w:rPr>
      </w:pPr>
    </w:p>
    <w:p>
      <w:pPr>
        <w:ind w:left="-8" w:right="20" w:firstLine="1505"/>
        <w:spacing w:after="0" w:line="261" w:lineRule="auto"/>
        <w:tabs>
          <w:tab w:leader="none" w:pos="1999"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New Patent Applications</w:t>
      </w:r>
      <w:r>
        <w:rPr>
          <w:rFonts w:ascii="Times New Roman" w:cs="Times New Roman" w:eastAsia="Times New Roman" w:hAnsi="Times New Roman"/>
          <w:sz w:val="22"/>
          <w:szCs w:val="22"/>
          <w:color w:val="auto"/>
        </w:rPr>
        <w:t>. Notwithstanding Section 6.2(a), if after consultation with Alaunos, Precigen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a new patent application (including, with respect</w:t>
      </w:r>
    </w:p>
    <w:p>
      <w:pPr>
        <w:spacing w:after="0" w:line="155"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220980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26" w:right="339" w:bottom="1440" w:gutter="0" w:footer="0" w:header="0"/>
        </w:sectPr>
      </w:pPr>
    </w:p>
    <w:bookmarkStart w:id="74" w:name="page75"/>
    <w:bookmarkEnd w:id="74"/>
    <w:p>
      <w:pPr>
        <w:jc w:val="both"/>
        <w:spacing w:after="0" w:line="236" w:lineRule="auto"/>
        <w:rPr>
          <w:sz w:val="20"/>
          <w:szCs w:val="20"/>
          <w:color w:val="auto"/>
        </w:rPr>
      </w:pPr>
      <w:r>
        <w:rPr>
          <w:rFonts w:ascii="Times New Roman" w:cs="Times New Roman" w:eastAsia="Times New Roman" w:hAnsi="Times New Roman"/>
          <w:sz w:val="22"/>
          <w:szCs w:val="22"/>
          <w:color w:val="auto"/>
        </w:rPr>
        <w:t>to Sleeping Beauty Intellectual Property, a divisional application) should be filed based on the Licensed Know-How, such patent applications shall be deemed Licensed Patents subject to further prosecution and maintenance in accordance with Section 6.2(a). Precigen shall reasonably consult with Alaunos regarding the drafting and filing of such new patent applications and shall reasonably consider any comments provided by Alaunos related thereto. For the avoidance of doubt, Precigen shall have authority with respect to such new patent applications (or divisional application) filing, prosecution and maintenance decisions in accordance with Section 6.2(a).</w:t>
      </w:r>
    </w:p>
    <w:p>
      <w:pPr>
        <w:spacing w:after="0" w:line="175" w:lineRule="exact"/>
        <w:rPr>
          <w:sz w:val="20"/>
          <w:szCs w:val="20"/>
          <w:color w:val="auto"/>
        </w:rPr>
      </w:pPr>
    </w:p>
    <w:p>
      <w:pPr>
        <w:jc w:val="both"/>
        <w:ind w:firstLine="1505"/>
        <w:spacing w:after="0" w:line="238" w:lineRule="auto"/>
        <w:tabs>
          <w:tab w:leader="none" w:pos="2007"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Abandonment</w:t>
      </w:r>
      <w:r>
        <w:rPr>
          <w:rFonts w:ascii="Times New Roman" w:cs="Times New Roman" w:eastAsia="Times New Roman" w:hAnsi="Times New Roman"/>
          <w:sz w:val="22"/>
          <w:szCs w:val="22"/>
          <w:color w:val="auto"/>
        </w:rPr>
        <w:t>. If Precigen decides anywhere in the Territory to abandon any Licensed Patent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Field, Alaunos may assume Precigen’s rights and responsibilities under this Section 6.2 with respect to such Licensed Patent, and in connection with assuming such rights and responsibilities, Alaunos may apply for any extension (including a supplementary protection certificate or equivalent thereof) and Alaunos will thereafter be responsible for the prosecution and maintenance of such Licensed Patent in the Field in the Territory.</w:t>
      </w:r>
    </w:p>
    <w:p>
      <w:pPr>
        <w:spacing w:after="0" w:line="174" w:lineRule="exact"/>
        <w:rPr>
          <w:rFonts w:ascii="Times New Roman" w:cs="Times New Roman" w:eastAsia="Times New Roman" w:hAnsi="Times New Roman"/>
          <w:sz w:val="22"/>
          <w:szCs w:val="22"/>
          <w:b w:val="1"/>
          <w:bCs w:val="1"/>
          <w:color w:val="auto"/>
        </w:rPr>
      </w:pPr>
    </w:p>
    <w:p>
      <w:pPr>
        <w:jc w:val="both"/>
        <w:ind w:firstLine="1505"/>
        <w:spacing w:after="0"/>
        <w:tabs>
          <w:tab w:leader="none" w:pos="2007"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Each Party shall provide the other Party all reasonable assistance and cooperation, 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Party’s request and expense, in the patent prosecution efforts provided above in this Section 6.2, including providing any necessary powers of attorney, executing any other required documents or instruments for such prosecution, and making its personnel with appropriate scientific expertise available to assist in such efforts.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6.3Enforcement of Licensed Patents.</w:t>
      </w:r>
    </w:p>
    <w:p>
      <w:pPr>
        <w:spacing w:after="0" w:line="205" w:lineRule="exact"/>
        <w:rPr>
          <w:sz w:val="20"/>
          <w:szCs w:val="20"/>
          <w:color w:val="auto"/>
        </w:rPr>
      </w:pPr>
    </w:p>
    <w:p>
      <w:pPr>
        <w:jc w:val="both"/>
        <w:ind w:firstLine="1505"/>
        <w:spacing w:after="0" w:line="236" w:lineRule="auto"/>
        <w:tabs>
          <w:tab w:leader="none" w:pos="2007"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If either Party becomes aware of (i) any existing or threatened infringement of the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in the Field in the Territory (including the filing of an ANDA under Section 505(j) of the FD&amp;C Act or an application under Section 505(b)(2) of the FD&amp;C Act naming a Licensed Product as a reference listed drug and including a certification under Section 505(j)(2)(A)(vii)(IV) or 505(b)(2)(A)(IV), respectively), or (ii) a declaratory judgment action against any Licensed Patent in the Territory in connection with any infringement described in clause (i) (each of (i) and (ii), a “</w:t>
      </w:r>
      <w:r>
        <w:rPr>
          <w:rFonts w:ascii="Times New Roman" w:cs="Times New Roman" w:eastAsia="Times New Roman" w:hAnsi="Times New Roman"/>
          <w:sz w:val="22"/>
          <w:szCs w:val="22"/>
          <w:b w:val="1"/>
          <w:bCs w:val="1"/>
          <w:color w:val="auto"/>
        </w:rPr>
        <w:t>Patent Infringement</w:t>
      </w:r>
      <w:r>
        <w:rPr>
          <w:rFonts w:ascii="Times New Roman" w:cs="Times New Roman" w:eastAsia="Times New Roman" w:hAnsi="Times New Roman"/>
          <w:sz w:val="22"/>
          <w:szCs w:val="22"/>
          <w:color w:val="auto"/>
        </w:rPr>
        <w:t>”), it shall promptly notify the other Party in writing to that effect, and the Parties will consult with each other regarding any actions to be taken with respect to such Patent Infringement.</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07"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Enforcement Rights. </w:t>
      </w:r>
      <w:r>
        <w:rPr>
          <w:rFonts w:ascii="Times New Roman" w:cs="Times New Roman" w:eastAsia="Times New Roman" w:hAnsi="Times New Roman"/>
          <w:sz w:val="22"/>
          <w:szCs w:val="22"/>
          <w:color w:val="auto"/>
        </w:rPr>
        <w:t>For any Patent Infringement, each Party shall share with the other Party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available to it regarding such actual or alleged infringement. With respect to any Patent Infringement by a product that competes with an Exclusive Product in the Field (a “</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If a Licensed Patent is the only patent covering such Product Infringement, Alaunos will notify Precigen. Once Precigen confirms there are no other patents Alaunos could bring for Product Infringement and if the only Licensed Patent is a member of patent family [***] then Alaunos shall have the first right, but not the obligation, to bring an appropriate suit or take other action against any person or entity engaged in, or to defend against, such Product Infringement, at Alaunos’ cost and expense. Alaunos shall not settle any such suit or action in any manner that would reasonably be expected to (i) require Precigen to incur any liability (ii) require Precigen to make any payments, or (iii) would reasonably be expected to adversely affect Precigen’s Development or Commercialization of products, in each case without the prior written consent of Precigen. If Alaunos does not, within one hundred eighty (180) days after its receipt or delivery of notice under Section 6.3(a), commence a suit to enforce the Licensed Patent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20"/>
          <w:szCs w:val="20"/>
          <w:color w:val="auto"/>
        </w:rPr>
        <w:t>against such Product Infringement, take other action to terminate such Product Infringement or initiate a defense against such Product Infringement, Precigen shall have the right, but not the obligation, to commence such a suit or take such an action or defend against such Product Infringement in the Territory at its own cost and expense. Precigen shall not settle any such suit or action in any manner that (i) require Alaunos to incur any liability, (ii) require Alaunos to make any payments, or (iii) would reasonably be expected to adversely affect Alaunos’ Development or Commercialization of products in each case without the prior written consent of Precigen. If such Product Infringement is related to [***] and such Licensed Patent is the only patent covering such Product Infringement and Precigen has confirmed there are no other patents Alaunos could bring for Product Infringement, Precigen shall have the first right, but not the obligation, to bring an appropriate suit or take other action against any person or entity engaged in, or to defend against, such Product Infringement, at Precigen’s cost and expense. Precigen shall not settle any such suit or action in any manner that would reasonably be expected to (i) require Alaunos to incur any liability or</w:t>
      </w:r>
    </w:p>
    <w:p>
      <w:pPr>
        <w:spacing w:after="0" w:line="8" w:lineRule="exact"/>
        <w:rPr>
          <w:sz w:val="20"/>
          <w:szCs w:val="20"/>
          <w:color w:val="auto"/>
        </w:rPr>
      </w:pPr>
    </w:p>
    <w:p>
      <w:pPr>
        <w:jc w:val="both"/>
        <w:ind w:firstLine="8"/>
        <w:spacing w:after="0" w:line="232" w:lineRule="auto"/>
        <w:tabs>
          <w:tab w:leader="none" w:pos="40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Alaunos to make any payments, in each case without the prior written consent of Alaunos. If Precigen does not, within one hundred eighty (180) days after its receipt or delivery of notice under Section 6.3(a), commence a suit to enforce the Licensed Patent against such Product Infringement, take other action to terminate such Product Infringement or initiate a defense against such Product Infringement, Alaunos shall have the right, but not the obligation, to commence such a suit or take such an action or defend against such Product Infringement in the Territory at its own cost and expense. Alaunos shall not settle any such suit or action in any manner that would reasonably be expected to (i) require Precigen to incur any liability (ii) require Precigen to make any payments, or (iii) would reasonably be expected to adversely affect Precigen’s Development or Commercialization of products, in each case without the prior written consent of Precigen.</w:t>
      </w:r>
    </w:p>
    <w:p>
      <w:pPr>
        <w:spacing w:after="0" w:line="173"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07"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Collaboration</w:t>
      </w:r>
      <w:r>
        <w:rPr>
          <w:rFonts w:ascii="Times New Roman" w:cs="Times New Roman" w:eastAsia="Times New Roman" w:hAnsi="Times New Roman"/>
          <w:sz w:val="22"/>
          <w:szCs w:val="22"/>
          <w:color w:val="auto"/>
        </w:rPr>
        <w:t>. Each Party shall provide to the enforcing Party reasonable assistance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at such enforcing Party’s request and expense,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72" w:lineRule="auto"/>
        <w:tabs>
          <w:tab w:leader="none" w:pos="2007" w:val="left"/>
        </w:tabs>
        <w:numPr>
          <w:ilvl w:val="1"/>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 and Recoveries</w:t>
      </w:r>
      <w:r>
        <w:rPr>
          <w:rFonts w:ascii="Times New Roman" w:cs="Times New Roman" w:eastAsia="Times New Roman" w:hAnsi="Times New Roman"/>
          <w:sz w:val="20"/>
          <w:szCs w:val="20"/>
          <w:color w:val="auto"/>
        </w:rPr>
        <w:t>. The Party bringing or defending a claim, suit or action under Section 6.3(b)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solely responsible for any expenses incurred by such Party as a result of such claim, suit or action. If such Party recovers monetary damages in such claim, suit or action, such recovery shall be allocated first to the reimbursement of any expenses incurred by the Party or Parties in such litigation, and any remaining amounts shall be allocated [***] between the Parties.</w:t>
      </w:r>
    </w:p>
    <w:p>
      <w:pPr>
        <w:spacing w:after="0" w:line="14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6.4Orange Book Listing</w:t>
      </w:r>
      <w:r>
        <w:rPr>
          <w:rFonts w:ascii="Times New Roman" w:cs="Times New Roman" w:eastAsia="Times New Roman" w:hAnsi="Times New Roman"/>
          <w:sz w:val="22"/>
          <w:szCs w:val="22"/>
          <w:color w:val="auto"/>
        </w:rPr>
        <w:t>. Upon receipt of a notice of allowance (or equivalent) of an applicable Licensed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Alaunos shall inform Precigen and request information reasonably required by Alaunos to list any Licensed Patent in the Orange Book maintained by the FDA or similar or equivalent patent listing source, if any, in other countries in the Territory with respect to such Licensed Product. Alaunos shall have the sole right to determine which Licensed Patent or other patent shall be included in the Orange Book for Licensed Products.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22"/>
          <w:szCs w:val="22"/>
          <w:b w:val="1"/>
          <w:bCs w:val="1"/>
          <w:color w:val="auto"/>
        </w:rPr>
        <w:t>6.5Trademarks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35" w:lineRule="auto"/>
        <w:tabs>
          <w:tab w:leader="none" w:pos="2007"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New Product Marks</w:t>
      </w:r>
      <w:r>
        <w:rPr>
          <w:rFonts w:ascii="Times New Roman" w:cs="Times New Roman" w:eastAsia="Times New Roman" w:hAnsi="Times New Roman"/>
          <w:sz w:val="22"/>
          <w:szCs w:val="22"/>
          <w:color w:val="auto"/>
        </w:rPr>
        <w:t>. Alaunos and its Affiliates and Sublicensees shall have the right to brand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Products in the Territory using any Trademarks it determines appropriate for the Licensed Products, which may vary by country or within a country (the “</w:t>
      </w:r>
      <w:r>
        <w:rPr>
          <w:rFonts w:ascii="Times New Roman" w:cs="Times New Roman" w:eastAsia="Times New Roman" w:hAnsi="Times New Roman"/>
          <w:sz w:val="22"/>
          <w:szCs w:val="22"/>
          <w:b w:val="1"/>
          <w:bCs w:val="1"/>
          <w:color w:val="auto"/>
        </w:rPr>
        <w:t>New Product Marks</w:t>
      </w:r>
      <w:r>
        <w:rPr>
          <w:rFonts w:ascii="Times New Roman" w:cs="Times New Roman" w:eastAsia="Times New Roman" w:hAnsi="Times New Roman"/>
          <w:sz w:val="22"/>
          <w:szCs w:val="22"/>
          <w:color w:val="auto"/>
        </w:rPr>
        <w:t>”), provided that Alaunos shall not, and shall ensure that its Affiliates and Sublicensees will not, make any use of the trademarks or house marks of Precigen (including Precigen’s corporate name) or any trademark confusingly similar thereto. As between the Parties, Alaunos shall own all rights in the New Product Marks and shall register and maintain, in its discretion and at its own cost and expense, the New Product Marks in the countries and regions in the Territory that it determines to be appropriate. Alaunos shall have the sole right, in its discretion and at its expense, to defend and enforce the New Product Marks.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7.1Mutual Representations and Warranties</w:t>
      </w:r>
      <w:r>
        <w:rPr>
          <w:rFonts w:ascii="Times New Roman" w:cs="Times New Roman" w:eastAsia="Times New Roman" w:hAnsi="Times New Roman"/>
          <w:sz w:val="20"/>
          <w:szCs w:val="20"/>
          <w:color w:val="auto"/>
        </w:rPr>
        <w:t>. Each Party hereby represents and warrants to the other Party as follows:</w:t>
      </w:r>
    </w:p>
    <w:p>
      <w:pPr>
        <w:spacing w:after="0" w:line="228" w:lineRule="exact"/>
        <w:rPr>
          <w:sz w:val="20"/>
          <w:szCs w:val="20"/>
          <w:color w:val="auto"/>
        </w:rPr>
      </w:pPr>
    </w:p>
    <w:p>
      <w:pPr>
        <w:ind w:right="20" w:firstLine="1505"/>
        <w:spacing w:after="0" w:line="261" w:lineRule="auto"/>
        <w:tabs>
          <w:tab w:leader="none" w:pos="2007"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Existence</w:t>
      </w:r>
      <w:r>
        <w:rPr>
          <w:rFonts w:ascii="Times New Roman" w:cs="Times New Roman" w:eastAsia="Times New Roman" w:hAnsi="Times New Roman"/>
          <w:sz w:val="22"/>
          <w:szCs w:val="22"/>
          <w:color w:val="auto"/>
        </w:rPr>
        <w:t>. As of the Effective Date, it is a company or corporation duly organized, validly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and in good standing under the Laws of the jurisdiction in which it is incorporated.</w:t>
      </w:r>
    </w:p>
    <w:p>
      <w:pPr>
        <w:spacing w:after="0" w:line="150" w:lineRule="exact"/>
        <w:rPr>
          <w:rFonts w:ascii="Times New Roman" w:cs="Times New Roman" w:eastAsia="Times New Roman" w:hAnsi="Times New Roman"/>
          <w:sz w:val="22"/>
          <w:szCs w:val="22"/>
          <w:b w:val="1"/>
          <w:bCs w:val="1"/>
          <w:color w:val="auto"/>
        </w:rPr>
      </w:pPr>
    </w:p>
    <w:p>
      <w:pPr>
        <w:jc w:val="both"/>
        <w:ind w:firstLine="1505"/>
        <w:spacing w:after="0" w:line="267" w:lineRule="auto"/>
        <w:tabs>
          <w:tab w:leader="none" w:pos="2007"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Corporate Power, Authority and Binding Agreement</w:t>
      </w:r>
      <w:r>
        <w:rPr>
          <w:rFonts w:ascii="Times New Roman" w:cs="Times New Roman" w:eastAsia="Times New Roman" w:hAnsi="Times New Roman"/>
          <w:sz w:val="20"/>
          <w:szCs w:val="20"/>
          <w:color w:val="auto"/>
        </w:rPr>
        <w:t>. As of the Effective Date, (i) it has the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50" w:lineRule="exact"/>
        <w:rPr>
          <w:rFonts w:ascii="Times New Roman" w:cs="Times New Roman" w:eastAsia="Times New Roman" w:hAnsi="Times New Roman"/>
          <w:sz w:val="20"/>
          <w:szCs w:val="20"/>
          <w:b w:val="1"/>
          <w:bCs w:val="1"/>
          <w:color w:val="auto"/>
        </w:rPr>
      </w:pPr>
    </w:p>
    <w:p>
      <w:pPr>
        <w:jc w:val="both"/>
        <w:ind w:firstLine="1505"/>
        <w:spacing w:after="0"/>
        <w:tabs>
          <w:tab w:leader="none" w:pos="2007"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Conflicts</w:t>
      </w:r>
      <w:r>
        <w:rPr>
          <w:rFonts w:ascii="Times New Roman" w:cs="Times New Roman" w:eastAsia="Times New Roman" w:hAnsi="Times New Roman"/>
          <w:sz w:val="22"/>
          <w:szCs w:val="22"/>
          <w:color w:val="auto"/>
        </w:rPr>
        <w:t>. It has not entered into any agreement with any Third Party that is in conflict with the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any other Party under this Agreement, and has not taken and shall not take any action that would in any way prevent it from granting the rights granted to any other Party under this Agreement, or that would otherwise materially conflict with or adversely affect any other Party’s rights under this Agreement.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7.2Representations and Warranties of Alaunos</w:t>
      </w:r>
      <w:r>
        <w:rPr>
          <w:rFonts w:ascii="Times New Roman" w:cs="Times New Roman" w:eastAsia="Times New Roman" w:hAnsi="Times New Roman"/>
          <w:sz w:val="22"/>
          <w:szCs w:val="22"/>
          <w:color w:val="auto"/>
        </w:rPr>
        <w:t>. Alaunos hereby represents and warrants to Precigen as follows:</w:t>
      </w:r>
    </w:p>
    <w:p>
      <w:pPr>
        <w:spacing w:after="0" w:line="205" w:lineRule="exact"/>
        <w:rPr>
          <w:sz w:val="20"/>
          <w:szCs w:val="20"/>
          <w:color w:val="auto"/>
        </w:rPr>
      </w:pPr>
    </w:p>
    <w:p>
      <w:pPr>
        <w:jc w:val="both"/>
        <w:ind w:firstLine="1505"/>
        <w:spacing w:after="0" w:line="246" w:lineRule="auto"/>
        <w:tabs>
          <w:tab w:leader="none" w:pos="2007"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Ongoing Clinical Trials Relating to Formerly Licensed Products. </w:t>
      </w:r>
      <w:r>
        <w:rPr>
          <w:rFonts w:ascii="Times New Roman" w:cs="Times New Roman" w:eastAsia="Times New Roman" w:hAnsi="Times New Roman"/>
          <w:sz w:val="22"/>
          <w:szCs w:val="22"/>
          <w:color w:val="auto"/>
        </w:rPr>
        <w:t>As of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Alaunos has terminated active enrollment in all clinical trials related to the Formerly Licensed Products but there are FDA-required long term follow up programs which continue which cannot be terminated.</w:t>
      </w:r>
    </w:p>
    <w:p>
      <w:pPr>
        <w:spacing w:after="0" w:line="165" w:lineRule="exact"/>
        <w:rPr>
          <w:rFonts w:ascii="Times New Roman" w:cs="Times New Roman" w:eastAsia="Times New Roman" w:hAnsi="Times New Roman"/>
          <w:sz w:val="22"/>
          <w:szCs w:val="22"/>
          <w:b w:val="1"/>
          <w:bCs w:val="1"/>
          <w:color w:val="auto"/>
        </w:rPr>
      </w:pPr>
    </w:p>
    <w:p>
      <w:pPr>
        <w:ind w:firstLine="1505"/>
        <w:spacing w:after="0" w:line="261" w:lineRule="auto"/>
        <w:tabs>
          <w:tab w:leader="none" w:pos="2007"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Terminated Contracts Relating to Formerly Licensed Products. </w:t>
      </w:r>
      <w:r>
        <w:rPr>
          <w:rFonts w:ascii="Times New Roman" w:cs="Times New Roman" w:eastAsia="Times New Roman" w:hAnsi="Times New Roman"/>
          <w:sz w:val="22"/>
          <w:szCs w:val="22"/>
          <w:color w:val="auto"/>
        </w:rPr>
        <w:t>Alaunos has terminated all contracts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research programs and collaborations it previously had with Third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7" w:name="page78"/>
    <w:bookmarkEnd w:id="77"/>
    <w:p>
      <w:pPr>
        <w:spacing w:after="0" w:line="258" w:lineRule="auto"/>
        <w:rPr>
          <w:sz w:val="20"/>
          <w:szCs w:val="20"/>
          <w:color w:val="auto"/>
        </w:rPr>
      </w:pPr>
      <w:r>
        <w:rPr>
          <w:rFonts w:ascii="Times New Roman" w:cs="Times New Roman" w:eastAsia="Times New Roman" w:hAnsi="Times New Roman"/>
          <w:sz w:val="22"/>
          <w:szCs w:val="22"/>
          <w:color w:val="auto"/>
        </w:rPr>
        <w:t>Parties to the extent relating to the Formerly Licensed Products. Alaunos has no existing licenses with a Third Party to the Formerly Licensed Products.</w:t>
      </w:r>
    </w:p>
    <w:p>
      <w:pPr>
        <w:spacing w:after="0" w:line="15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7.3Representations and Warranties of Precigen</w:t>
      </w:r>
      <w:r>
        <w:rPr>
          <w:rFonts w:ascii="Times New Roman" w:cs="Times New Roman" w:eastAsia="Times New Roman" w:hAnsi="Times New Roman"/>
          <w:sz w:val="22"/>
          <w:szCs w:val="22"/>
          <w:color w:val="auto"/>
        </w:rPr>
        <w:t>. Precigen hereby represents and warrants to Alaunos that it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grant the licenses that it grants to Alaunos under this Agreement.</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7.4Mutual Covenants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505"/>
        <w:spacing w:after="0" w:line="246" w:lineRule="auto"/>
        <w:tabs>
          <w:tab w:leader="none" w:pos="2007"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Conflicts</w:t>
      </w:r>
      <w:r>
        <w:rPr>
          <w:rFonts w:ascii="Times New Roman" w:cs="Times New Roman" w:eastAsia="Times New Roman" w:hAnsi="Times New Roman"/>
          <w:sz w:val="22"/>
          <w:szCs w:val="22"/>
          <w:color w:val="auto"/>
        </w:rPr>
        <w:t>. Each Party shall not enter into any agreement with any Third Party that is in conflict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licenses and obligations under this Agreement, and has not taken and shall not take any action that would in any way prevent it from granting the rights granted to the other Party under this Agreement.</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7.5Disclaimer</w:t>
      </w:r>
      <w:r>
        <w:rPr>
          <w:rFonts w:ascii="Times New Roman" w:cs="Times New Roman" w:eastAsia="Times New Roman" w:hAnsi="Times New Roman"/>
          <w:sz w:val="22"/>
          <w:szCs w:val="22"/>
          <w:color w:val="auto"/>
        </w:rPr>
        <w:t>. EXCEPT AS EXPRESSLY STATED IN THIS AGREEMENT, NO REPRESENTATIONS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8.1Indemnification by Precigen</w:t>
      </w:r>
      <w:r>
        <w:rPr>
          <w:rFonts w:ascii="Times New Roman" w:cs="Times New Roman" w:eastAsia="Times New Roman" w:hAnsi="Times New Roman"/>
          <w:sz w:val="22"/>
          <w:szCs w:val="22"/>
          <w:color w:val="auto"/>
        </w:rPr>
        <w:t>. Precigen shall defend, indemnify, and hold Alaunos and its Affiliates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officers, directors, employees, and agents (the “</w:t>
      </w:r>
      <w:r>
        <w:rPr>
          <w:rFonts w:ascii="Times New Roman" w:cs="Times New Roman" w:eastAsia="Times New Roman" w:hAnsi="Times New Roman"/>
          <w:sz w:val="22"/>
          <w:szCs w:val="22"/>
          <w:b w:val="1"/>
          <w:bCs w:val="1"/>
          <w:color w:val="auto"/>
        </w:rPr>
        <w:t>Alaunos Indemnitees</w:t>
      </w:r>
      <w:r>
        <w:rPr>
          <w:rFonts w:ascii="Times New Roman" w:cs="Times New Roman" w:eastAsia="Times New Roman" w:hAnsi="Times New Roman"/>
          <w:sz w:val="22"/>
          <w:szCs w:val="22"/>
          <w:color w:val="auto"/>
        </w:rPr>
        <w:t>”) harmless from and against any and all damages or other amounts payable to a Third Party claimant, as well as any reasonable attorneys’ fees and costs of litigation incurred by such Alaunos Indemnitees, resulting from any claims, suits, proceedings or causes of action brought by such Third Party (collectively,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against such Alaunos Indemnitee to the extent arising from or based on (a) the Research, Development or Commercialization of any Formerly Licensed Products, including by or on behalf of, or under license of, Precigen or its Affiliates, after the Effective Date (b) the Merck Agreement, (c) the breach of any of Precigen’s obligations, representations or warranties under this Agreement, or (d) the willful misconduct or gross negligence of Precigen, its Affiliates, or the officers, directors, employees, or agents of Precigen or its Affiliates. The foregoing indemnity obligation shall not apply to the extent that (i) the Alaunos Indemnitees fail to comply with the indemnification procedures set forth in Section 8.3 and Precigen’s defense of the relevant Claims is prejudiced by such failure, or (ii) any Claim arises from or is based on any activity set forth in Section 8.2(b) or 8.2(c) for which Alaunos is obligated to indemnify the Precigen Indemnitees under Section 8.2.</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8.2Indemnification by Alaunos</w:t>
      </w:r>
      <w:r>
        <w:rPr>
          <w:rFonts w:ascii="Times New Roman" w:cs="Times New Roman" w:eastAsia="Times New Roman" w:hAnsi="Times New Roman"/>
          <w:sz w:val="22"/>
          <w:szCs w:val="22"/>
          <w:color w:val="auto"/>
        </w:rPr>
        <w:t>. Alaunos shall defend, indemnify, and hold Precigen, Intrexon and their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officers, directors, employees, and agents (the “</w:t>
      </w:r>
      <w:r>
        <w:rPr>
          <w:rFonts w:ascii="Times New Roman" w:cs="Times New Roman" w:eastAsia="Times New Roman" w:hAnsi="Times New Roman"/>
          <w:sz w:val="22"/>
          <w:szCs w:val="22"/>
          <w:b w:val="1"/>
          <w:bCs w:val="1"/>
          <w:color w:val="auto"/>
        </w:rPr>
        <w:t>Precigen Indemnitees</w:t>
      </w:r>
      <w:r>
        <w:rPr>
          <w:rFonts w:ascii="Times New Roman" w:cs="Times New Roman" w:eastAsia="Times New Roman" w:hAnsi="Times New Roman"/>
          <w:sz w:val="22"/>
          <w:szCs w:val="22"/>
          <w:color w:val="auto"/>
        </w:rPr>
        <w:t>”) harmless from and against damages or other amounts payable to a Third Party claimant, as well as any reasonable attorneys’ fees and costs of litigation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8" w:name="page79"/>
    <w:bookmarkEnd w:id="78"/>
    <w:p>
      <w:pPr>
        <w:jc w:val="both"/>
        <w:spacing w:after="0" w:line="233" w:lineRule="auto"/>
        <w:rPr>
          <w:sz w:val="20"/>
          <w:szCs w:val="20"/>
          <w:color w:val="auto"/>
        </w:rPr>
      </w:pPr>
      <w:r>
        <w:rPr>
          <w:rFonts w:ascii="Times New Roman" w:cs="Times New Roman" w:eastAsia="Times New Roman" w:hAnsi="Times New Roman"/>
          <w:sz w:val="22"/>
          <w:szCs w:val="22"/>
          <w:color w:val="auto"/>
        </w:rPr>
        <w:t>incurred by such Precigen Indemnitees, resulting from any Claims against such Precigen Indemnitee to the extent arising from or based on (a) the Development or Commercialization of Licensed Products by or on behalf of Alaunos or its Affiliates or Sublicensees, (b) the Research, Development or Commercialization of any Formerly Licensed Products, including by or on behalf of, or under license of, Alaunos or its Affiliates, Third Party collaborators, or Sublicensees, prior to the Effective Date (c) the breach of any of Alaunos’ obligations, representations or warranties under this Agreement, (d) Alaunos’ breach of the MDACC Research Agreement or 2015 MDACC License, each as amended pursuant to the Agreement or (e) the willful misconduct or gross negligence of Alaunos, its Affiliates, or the officers, directors, employees, or agents of Alaunos or its Affiliates. The foregoing indemnity obligation shall not apply to the extent that (i) the Precigen Indemnitees fail to comply with the indemnification procedures set forth in Section 8.3 and Alaunos’ defense of the relevant Claims is prejudiced by such failure, or (ii) any Claim arises from or is based on any activity set forth in Section 8.1(c) or 8.1(d) for which Precigen is obligated to indemnify the Alaunos Indemnitees under Section 8.1.</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8.3Indemnification Procedures</w:t>
      </w:r>
      <w:r>
        <w:rPr>
          <w:rFonts w:ascii="Times New Roman" w:cs="Times New Roman" w:eastAsia="Times New Roman" w:hAnsi="Times New Roman"/>
          <w:sz w:val="22"/>
          <w:szCs w:val="22"/>
          <w:color w:val="auto"/>
        </w:rPr>
        <w:t>. The Party claiming indemnity under this Section 8.3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 written notice to the Party from whom indemnity is being sought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promptly after learning of such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Section 8.3.</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8.4Limitation of Liability</w:t>
      </w:r>
      <w:r>
        <w:rPr>
          <w:rFonts w:ascii="Times New Roman" w:cs="Times New Roman" w:eastAsia="Times New Roman" w:hAnsi="Times New Roman"/>
          <w:sz w:val="22"/>
          <w:szCs w:val="22"/>
          <w:color w:val="auto"/>
        </w:rPr>
        <w:t>. NEITHER PARTY SHALL BE LIABLE TO THE OTHER FOR ANY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CONSEQUENTIAL, INCIDENTAL, PUNITIVE, OR INDIRECT DAMAGES ARISING FROM OR RELATING TO ANY BREACH OF THIS AGREEMENT, REGARDLESS OF ANY NOTICE OF THE POSSIBILITY OF SUCH DAMAGES. NOTWITHSTANDING THE FOREGOING, NOTHING IN THIS SECTION 8.4 IS INTENDED TO OR SHALL LIMIT OR RESTRICT THE INDEMNIFICATION RIGHTS OR OBLIGATIONS OF ANY PARTY UNDER SECTION 8.1 OR 8.2 OR DAMAGES AVAILABLE FOR BREACH OF ARTICLE 9.</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8.5Insurance</w:t>
      </w:r>
      <w:r>
        <w:rPr>
          <w:rFonts w:ascii="Times New Roman" w:cs="Times New Roman" w:eastAsia="Times New Roman" w:hAnsi="Times New Roman"/>
          <w:sz w:val="22"/>
          <w:szCs w:val="22"/>
          <w:color w:val="auto"/>
        </w:rPr>
        <w:t>. Each Party shall procure and maintain insurance, including product liability insurance, consistent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normal business practices of prudent companies similarly situated at all times during which any Licensed Product is being clinically tested in human subjects or commercially distributed or sold by such Party and for the three (3) year period thereafter. It is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p>
      <w:pPr>
        <w:jc w:val="both"/>
        <w:spacing w:after="0" w:line="256" w:lineRule="exact"/>
        <w:rPr>
          <w:sz w:val="20"/>
          <w:szCs w:val="20"/>
          <w:color w:val="auto"/>
        </w:rPr>
      </w:pPr>
      <w:r>
        <w:rPr>
          <w:rFonts w:ascii="Times New Roman" w:cs="Times New Roman" w:eastAsia="Times New Roman" w:hAnsi="Times New Roman"/>
          <w:sz w:val="22"/>
          <w:szCs w:val="22"/>
          <w:color w:val="auto"/>
        </w:rPr>
        <w:t>understood that such insurance shall not be construed to create a limit of either Party’s liability with respect to its indemnification obligations under this Section 8.5. Each Party shall provide the other Party with written evidence of such insurance upon request. Each Party shall provide the other Party with written notice at least thirty (30) days prior to the cancellation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renewal of such insurance.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9.1Confidentiality</w:t>
      </w:r>
      <w:r>
        <w:rPr>
          <w:rFonts w:ascii="Times New Roman" w:cs="Times New Roman" w:eastAsia="Times New Roman" w:hAnsi="Times New Roman"/>
          <w:sz w:val="22"/>
          <w:szCs w:val="22"/>
          <w:color w:val="auto"/>
        </w:rPr>
        <w:t>. Each Party agrees that, during the Term and for a period of ten (10) years thereafter, it shall keep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provided, however, that any Confidential Information that is considered a “trade secret” shall remain subject to the confidentiality provisions herein for so long as such Confidential Information maintains its “trade secret” status. The foregoing confidentiality and non-use obligations shall not apply to any portion of the other Party’s Confidential Information that the receiving Party can demonstrate by competent written proof:</w:t>
      </w:r>
    </w:p>
    <w:p>
      <w:pPr>
        <w:spacing w:after="0" w:line="180" w:lineRule="exact"/>
        <w:rPr>
          <w:sz w:val="20"/>
          <w:szCs w:val="20"/>
          <w:color w:val="auto"/>
        </w:rPr>
      </w:pPr>
    </w:p>
    <w:p>
      <w:pPr>
        <w:ind w:firstLine="1505"/>
        <w:spacing w:after="0" w:line="258" w:lineRule="auto"/>
        <w:tabs>
          <w:tab w:leader="none" w:pos="2007"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already known to the receiving Party or its Affiliate, other than under an obligation of confidentiality, at the time of disclosure by the other Party;</w:t>
      </w:r>
    </w:p>
    <w:p>
      <w:pPr>
        <w:spacing w:after="0" w:line="157" w:lineRule="exact"/>
        <w:rPr>
          <w:rFonts w:ascii="Times New Roman" w:cs="Times New Roman" w:eastAsia="Times New Roman" w:hAnsi="Times New Roman"/>
          <w:sz w:val="22"/>
          <w:szCs w:val="22"/>
          <w:b w:val="1"/>
          <w:bCs w:val="1"/>
          <w:color w:val="auto"/>
        </w:rPr>
      </w:pPr>
    </w:p>
    <w:p>
      <w:pPr>
        <w:ind w:left="2020" w:hanging="515"/>
        <w:spacing w:after="0"/>
        <w:tabs>
          <w:tab w:leader="none" w:pos="202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was generally available to the public or otherwise part of the public domain at the time of its disclosure to</w:t>
      </w:r>
    </w:p>
    <w:p>
      <w:pPr>
        <w:spacing w:after="0" w:line="36"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the receiving Party;</w:t>
      </w:r>
    </w:p>
    <w:p>
      <w:pPr>
        <w:spacing w:after="0" w:line="181" w:lineRule="exact"/>
        <w:rPr>
          <w:rFonts w:ascii="Times New Roman" w:cs="Times New Roman" w:eastAsia="Times New Roman" w:hAnsi="Times New Roman"/>
          <w:sz w:val="20"/>
          <w:szCs w:val="20"/>
          <w:b w:val="1"/>
          <w:bCs w:val="1"/>
          <w:color w:val="auto"/>
        </w:rPr>
      </w:pPr>
    </w:p>
    <w:p>
      <w:pPr>
        <w:ind w:firstLine="1505"/>
        <w:spacing w:after="0" w:line="258" w:lineRule="auto"/>
        <w:tabs>
          <w:tab w:leader="none" w:pos="2007"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57"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07"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disclosed to the receiving Party or its Affiliate by a Third Party who has a legal right to make such disclosure and who did not obtain such information directly or indirectly from the other Party; or</w:t>
      </w:r>
    </w:p>
    <w:p>
      <w:pPr>
        <w:spacing w:after="0" w:line="157"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07"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was independently discovered or developed by the receiving Party or its Affiliate without access to or aid, application or use of the other Party’s Confidential Information, as evidenced by a contemporaneous writing.</w:t>
      </w:r>
    </w:p>
    <w:p>
      <w:pPr>
        <w:spacing w:after="0" w:line="15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9.2Authorized Disclosure</w:t>
      </w:r>
      <w:r>
        <w:rPr>
          <w:rFonts w:ascii="Times New Roman" w:cs="Times New Roman" w:eastAsia="Times New Roman" w:hAnsi="Times New Roman"/>
          <w:sz w:val="22"/>
          <w:szCs w:val="22"/>
          <w:color w:val="auto"/>
        </w:rPr>
        <w:t>. Notwithstanding the obligations set forth in Section 9.1, a Party may disclose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Party’s Confidential Information and the terms of this Agreement to the extent such disclosure is reasonable necessary in the following instances:</w:t>
      </w:r>
    </w:p>
    <w:p>
      <w:pPr>
        <w:spacing w:after="0" w:line="170" w:lineRule="exact"/>
        <w:rPr>
          <w:sz w:val="20"/>
          <w:szCs w:val="20"/>
          <w:color w:val="auto"/>
        </w:rPr>
      </w:pPr>
    </w:p>
    <w:p>
      <w:pPr>
        <w:ind w:left="2020" w:hanging="515"/>
        <w:spacing w:after="0"/>
        <w:tabs>
          <w:tab w:leader="none" w:pos="20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filing, prosecuting, or maintaining Patents as permitted by this Agreement;</w:t>
      </w:r>
    </w:p>
    <w:p>
      <w:pPr>
        <w:spacing w:after="0" w:line="205" w:lineRule="exact"/>
        <w:rPr>
          <w:rFonts w:ascii="Times New Roman" w:cs="Times New Roman" w:eastAsia="Times New Roman" w:hAnsi="Times New Roman"/>
          <w:sz w:val="22"/>
          <w:szCs w:val="22"/>
          <w:b w:val="1"/>
          <w:bCs w:val="1"/>
          <w:color w:val="auto"/>
        </w:rPr>
      </w:pPr>
    </w:p>
    <w:p>
      <w:pPr>
        <w:ind w:left="2020" w:hanging="515"/>
        <w:spacing w:after="0"/>
        <w:tabs>
          <w:tab w:leader="none" w:pos="20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prosecuting or defending litigation as permitted by this Agreement;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0" w:name="page81"/>
    <w:bookmarkEnd w:id="80"/>
    <w:p>
      <w:pPr>
        <w:jc w:val="both"/>
        <w:ind w:firstLine="1505"/>
        <w:spacing w:after="0" w:line="280" w:lineRule="auto"/>
        <w:tabs>
          <w:tab w:leader="none" w:pos="2007"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disclosure to its and its Affiliates’ employees, agents, consultants and contractors, on a need-to-know basis for the sole purpose of performing its obligations or exercising its rights under this Agreement; provided that in each case, the disclosees are bound by written obligations of confidentiality and non-use consistent with those contained in this Agreement; or</w:t>
      </w:r>
    </w:p>
    <w:p>
      <w:pPr>
        <w:spacing w:after="0" w:line="138" w:lineRule="exact"/>
        <w:rPr>
          <w:rFonts w:ascii="Times New Roman" w:cs="Times New Roman" w:eastAsia="Times New Roman" w:hAnsi="Times New Roman"/>
          <w:sz w:val="20"/>
          <w:szCs w:val="20"/>
          <w:b w:val="1"/>
          <w:bCs w:val="1"/>
          <w:color w:val="auto"/>
        </w:rPr>
      </w:pPr>
    </w:p>
    <w:p>
      <w:pPr>
        <w:jc w:val="both"/>
        <w:ind w:firstLine="1505"/>
        <w:spacing w:after="0" w:line="237" w:lineRule="auto"/>
        <w:tabs>
          <w:tab w:leader="none" w:pos="2007"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disclosure to potential and actual: investors, acquirors (of part or all of the shares and/or assets of a Party or an Affiliate), collaborators, licensors, licensees and sublicensees and other financial or commercial partners, solely for the purpose of evaluating or carrying out an actual or potential investment, acquisition, collaboration, license or sublicense; provided that in each case, the discloses are bound by written obligations of confidentiality and non-use consistent with those contained in this Agreement (provided that the term of such obligations may be shorter); or</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07"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comply with applicable Laws, including regulations promulgated by applicable security exchanges, court order, administrative subpoena or order; provided that the Party subject to such Laws shall promptly notify the other Party of such required disclosure and shall use reasonable efforts to obtain, or to assist the other Party in obtaining, a protective order preventing or limiting the required disclosure.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if a Party is required to make a disclosure of the other Party’s Confidential Information pursuant to Section 9.2(e), such Party shall notify the other Party of such required disclosure as far in advance as reasonably practicable (and in no event less than fifteen (15) Business Days prior to the anticipated date of disclosure) to provide the non-disclosing Party opportunity to review and comment upon the disclosure.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9.3Publicity; Terms of Agreement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1505"/>
        <w:spacing w:after="0" w:line="264" w:lineRule="auto"/>
        <w:tabs>
          <w:tab w:leader="none" w:pos="2007"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agree that the material terms of this Agreement are the Confidential Information of both Parties, subject to the special authorized disclosure provisions set forth in this Section 9.3 or Section 9.2. In addition, a Party may disclose such terms to the extent reasonably necessary to be disclosed to any bona fide potential or actual investor, acquiror or merger partner for the sole purpose of evaluating an actual or potential investment, acquisition or merger; provided that in connection with such disclosure, such Party shall inform each disclosee of the confidential nature of such Confidential Information and ensure that each such disclosee is contractually obligated to treat such Confidential Information as confidential.</w:t>
      </w:r>
    </w:p>
    <w:p>
      <w:pPr>
        <w:spacing w:after="0" w:line="154" w:lineRule="exact"/>
        <w:rPr>
          <w:rFonts w:ascii="Times New Roman" w:cs="Times New Roman" w:eastAsia="Times New Roman" w:hAnsi="Times New Roman"/>
          <w:sz w:val="20"/>
          <w:szCs w:val="20"/>
          <w:b w:val="1"/>
          <w:bCs w:val="1"/>
          <w:color w:val="auto"/>
        </w:rPr>
      </w:pPr>
    </w:p>
    <w:p>
      <w:pPr>
        <w:jc w:val="both"/>
        <w:ind w:firstLine="1505"/>
        <w:spacing w:after="0" w:line="235" w:lineRule="auto"/>
        <w:tabs>
          <w:tab w:leader="none" w:pos="2007"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acknowledge that either or both Parties may be obligated to file under applicable Laws a copy of this Agreement with the U.S. Securities and Exchange Commission or other Governmental Authorities. Each Party shall be entitled to make such a required filing, provided that it requests confidential treatment of the commercial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and shall reasonably consider and incorporate the other Party’s reasonable comments thereon to the extent consistent with the legal requirements, with respect to the filing</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Party, governing disclosure of material agreements and material information that must be publicly filed.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10.1Term</w:t>
      </w:r>
      <w:r>
        <w:rPr>
          <w:rFonts w:ascii="Times New Roman" w:cs="Times New Roman" w:eastAsia="Times New Roman" w:hAnsi="Times New Roman"/>
          <w:sz w:val="22"/>
          <w:szCs w:val="22"/>
          <w:color w:val="auto"/>
        </w:rPr>
        <w:t>. This Agreement shall become effective on the Effective Date and, unless earlier terminated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10 shall remain in effect on a Licensed Product-by-Licensed Product and country-by-country basis, until the expiration of the Patent Term, except as provided in Section 5.2(b).</w:t>
      </w:r>
    </w:p>
    <w:p>
      <w:pPr>
        <w:spacing w:after="0" w:line="1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10.2Unilateral Termination by Alaunos. </w:t>
      </w:r>
      <w:r>
        <w:rPr>
          <w:rFonts w:ascii="Times New Roman" w:cs="Times New Roman" w:eastAsia="Times New Roman" w:hAnsi="Times New Roman"/>
          <w:sz w:val="22"/>
          <w:szCs w:val="22"/>
          <w:color w:val="auto"/>
        </w:rPr>
        <w:t>Alaunos may terminate this Agreement, on a country-by-country, Program-by-Program, or Licensed Patent-by-Licensed Patent basis or in its entirety, for any or no reason upon written notice to Precigen. Upon any such termination of this Agreement by Alaunos, the license rights with respect to the applicable country, Program or Licensed Patent, as the case may be, shall terminate, and the then remaining license rights under this Agreement shall continue and survive.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10.3Termination by Either Party for Breach.</w:t>
      </w:r>
    </w:p>
    <w:p>
      <w:pPr>
        <w:spacing w:after="0" w:line="205" w:lineRule="exact"/>
        <w:rPr>
          <w:sz w:val="20"/>
          <w:szCs w:val="20"/>
          <w:color w:val="auto"/>
        </w:rPr>
      </w:pPr>
    </w:p>
    <w:p>
      <w:pPr>
        <w:jc w:val="both"/>
        <w:ind w:firstLine="1505"/>
        <w:spacing w:after="0" w:line="236" w:lineRule="auto"/>
        <w:tabs>
          <w:tab w:leader="none" w:pos="2037"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Subject to Section 10.3(b), each Party shall have the right to terminate this Agreement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notice to the other Party if such other Party materially breaches its obligations under this Agreement and, after receiving written notice from the non-breaching Party identifying such material breach in reasonable detail, fails to cure such material breach within sixty (60) days from the date of such notice; provided that if such breach is not reasonably capable of cure within such sixty (60)-day period, the breaching Party may submit a reasonable cure plan prior to the end of such sixty (60)-day period, in which case the other Party shall not have the right to terminate this Agreement for so long as the breaching Party is using commercially reasonable efforts to implement such cure plan.</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07"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Disputed Breach. </w:t>
      </w:r>
      <w:r>
        <w:rPr>
          <w:rFonts w:ascii="Times New Roman" w:cs="Times New Roman" w:eastAsia="Times New Roman" w:hAnsi="Times New Roman"/>
          <w:sz w:val="22"/>
          <w:szCs w:val="22"/>
          <w:color w:val="auto"/>
        </w:rPr>
        <w:t>If the alleged breaching Party disputes in good faith the existence or materiality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specified in a notice provided by the other Party in accordance with Section 10.3(a), and such alleged breaching Party provides the other Party notice of such dispute within such sixty (60)-day period, then the non-breaching Party shall not have the right to terminate this Agreement under Section 10.3(a) unless and until the arbitrators, in accordance with Section 11.2, has determined that the alleged breaching Party has materially breached the Agreement and that such Party fails to cure such breach within sixty (60) days following such arbitrators’ decision. During the pendency of such dispute, all of the terms and conditions of this Agreement shall remain in effect and the Parties shall continue to perform all of their respective obligations hereunder. Except with respect to breaches of payment obligations, the Parties agree that a breach with respect to a Licensed Product shall not itself be deemed to be a breach with respect to other Licensed Products and any termination of this Agreement shall be limited to the Licensed Product or Licensed Products for which a Party breached its obligations hereunder. Nothing in this Section 10.3 shall limit a Party’s ability to seek remedies available under this Agreement in law or equity.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2" w:name="page83"/>
    <w:bookmarkEnd w:id="82"/>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10.4Survival</w:t>
      </w:r>
      <w:r>
        <w:rPr>
          <w:rFonts w:ascii="Times New Roman" w:cs="Times New Roman" w:eastAsia="Times New Roman" w:hAnsi="Times New Roman"/>
          <w:sz w:val="22"/>
          <w:szCs w:val="22"/>
          <w:color w:val="auto"/>
        </w:rPr>
        <w:t>. Termination or expiration of this Agreement shall not affect any rights or obligations of the Parties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that have accrued prior to the date of termination or expiration. Notwithstanding anything to the contrary, the following provisions shall survive any expiration or termination of this Agreement: Articles 1 (to the extent definitions are used in the following sections or portions thereof), Article 8, Article 9, Article 11, and Article 12 and individual Sections: 2.7, 3.4, 5.2., 5.3, 5.4, 6.1, 6.5, 7.5, 10.1 and 10.4. If this Agreement is terminated with respect to a given Licensed Product, but not in its entirety, then following such termination the foregoing provisions of this Agreement shall remain in effect with respect to the Licensed Product(s) for which the termination is applicable (to the extent they would survive and apply in the event the Agreement expires or is terminated in its entirety) and all provisions not surviving in accordance with the foregoing shall terminate with respect to the relevant Licensed Product for which the termination applies, as applicable, upon the effective date of termination thereof.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11.1Disputes. </w:t>
      </w:r>
      <w:r>
        <w:rPr>
          <w:rFonts w:ascii="Times New Roman" w:cs="Times New Roman" w:eastAsia="Times New Roman" w:hAnsi="Times New Roman"/>
          <w:sz w:val="22"/>
          <w:szCs w:val="22"/>
          <w:color w:val="auto"/>
        </w:rPr>
        <w:t>It is the objective of the Parties to establish procedures to facilitate the resolution of disputes arising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in an expedient manner by mutual cooperation and without resort to litigation. In the event of any disputes, controversies or differences which may arise between the Parties out of or in relation to or in connection with this Agreement, including, without limitation, any alleged failure to perform, or breach, of this Agreement, or any issue relating to the interpretation or application of this Agreement (each,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then upon the request of either Party by written notice, the Parties agree to meet and discuss in good faith a possible resolution thereof, which good faith efforts shall include at least one in-person meeting between the Executive Officers of each Party. If the matter is not resolved within thirty (30) days following the written request for discussions, either Party may then invoke the provisions of Section 11.2.</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11.2Arbitration. </w:t>
      </w:r>
      <w:r>
        <w:rPr>
          <w:rFonts w:ascii="Times New Roman" w:cs="Times New Roman" w:eastAsia="Times New Roman" w:hAnsi="Times New Roman"/>
          <w:sz w:val="20"/>
          <w:szCs w:val="20"/>
          <w:color w:val="auto"/>
        </w:rPr>
        <w:t>Any Dispute that is not resolved pursuant to Section 12.1 shall, subject to Section 12.10, be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resolved by binding arbitration administered by the American Arbitration Association (“</w:t>
      </w:r>
      <w:r>
        <w:rPr>
          <w:rFonts w:ascii="Times New Roman" w:cs="Times New Roman" w:eastAsia="Times New Roman" w:hAnsi="Times New Roman"/>
          <w:sz w:val="20"/>
          <w:szCs w:val="20"/>
          <w:b w:val="1"/>
          <w:bCs w:val="1"/>
          <w:color w:val="auto"/>
        </w:rPr>
        <w:t>AAA</w:t>
      </w:r>
      <w:r>
        <w:rPr>
          <w:rFonts w:ascii="Times New Roman" w:cs="Times New Roman" w:eastAsia="Times New Roman" w:hAnsi="Times New Roman"/>
          <w:sz w:val="20"/>
          <w:szCs w:val="20"/>
          <w:color w:val="auto"/>
        </w:rPr>
        <w:t>”) (or its successor entity) in accordance with the then current Commercial Rules of the American Arbitration Association including the Procedures for Large, Complex Commercial Disputes (including the Optional Rules for Emergency Measures of Protection) (the “</w:t>
      </w:r>
      <w:r>
        <w:rPr>
          <w:rFonts w:ascii="Times New Roman" w:cs="Times New Roman" w:eastAsia="Times New Roman" w:hAnsi="Times New Roman"/>
          <w:sz w:val="20"/>
          <w:szCs w:val="20"/>
          <w:b w:val="1"/>
          <w:bCs w:val="1"/>
          <w:color w:val="auto"/>
        </w:rPr>
        <w:t>AAA Rules</w:t>
      </w:r>
      <w:r>
        <w:rPr>
          <w:rFonts w:ascii="Times New Roman" w:cs="Times New Roman" w:eastAsia="Times New Roman" w:hAnsi="Times New Roman"/>
          <w:sz w:val="20"/>
          <w:szCs w:val="20"/>
          <w:color w:val="auto"/>
        </w:rPr>
        <w:t>”), except as modified in this Agreement, which AAA Rules are deemed to be incorporated by reference into this clause. The decision rendered in any such arbitration will be final, binding and unappealable. The arbitration shall be conducted by a panel of three (3) arbitrators appointed in accordance with the AAA Rules, none of whom shall be a current or former employee or director, or a then-current stockholder, of either Party, their respective Affiliates or any Sublicensee. The place of arbitration shall be New York, New York, U.S., and all proceedings and communications shall be in English. It is the intention of the Parties that discovery, although permitted as described herein, will be limited except in exceptional circumstances. The arbitrators will permit such limited discovery necessary for an understanding of any legitimate issue raised in the arbitration, including the production of documents. No later than thirty (30) days after selection of the arbitrators, the Parties and their representatives shall</w:t>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3" w:name="page84"/>
    <w:bookmarkEnd w:id="83"/>
    <w:p>
      <w:pPr>
        <w:jc w:val="both"/>
        <w:spacing w:after="0" w:line="244" w:lineRule="auto"/>
        <w:rPr>
          <w:sz w:val="20"/>
          <w:szCs w:val="20"/>
          <w:color w:val="auto"/>
        </w:rPr>
      </w:pPr>
      <w:r>
        <w:rPr>
          <w:rFonts w:ascii="Times New Roman" w:cs="Times New Roman" w:eastAsia="Times New Roman" w:hAnsi="Times New Roman"/>
          <w:sz w:val="22"/>
          <w:szCs w:val="22"/>
          <w:color w:val="auto"/>
        </w:rPr>
        <w:t>hold a preliminary meeting with the arbitrators, to mutually agree upon and thereafter follow procedures seeking to assure that the arbitration will be concluded within six (6) months from such meeting. Failing any such mutual agreement, the arbitrators will design and the Parties shall follow procedures to such effect.</w:t>
      </w:r>
    </w:p>
    <w:p>
      <w:pPr>
        <w:spacing w:after="0" w:line="168"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11.3Governing Law. </w:t>
      </w:r>
      <w:r>
        <w:rPr>
          <w:rFonts w:ascii="Times New Roman" w:cs="Times New Roman" w:eastAsia="Times New Roman" w:hAnsi="Times New Roman"/>
          <w:sz w:val="22"/>
          <w:szCs w:val="22"/>
          <w:color w:val="auto"/>
        </w:rPr>
        <w:t>This Agreement shall be governed by and construed under the substantive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York, excluding any conflicts or choice of law rule or principle that might otherwise refer construction or interpretation of this Agreement to the substantive law of another jurisdiction.</w:t>
      </w:r>
    </w:p>
    <w:p>
      <w:pPr>
        <w:spacing w:after="0" w:line="16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11.4Award. </w:t>
      </w:r>
      <w:r>
        <w:rPr>
          <w:rFonts w:ascii="Times New Roman" w:cs="Times New Roman" w:eastAsia="Times New Roman" w:hAnsi="Times New Roman"/>
          <w:sz w:val="22"/>
          <w:szCs w:val="22"/>
          <w:color w:val="auto"/>
        </w:rPr>
        <w:t>Any award to be paid by one Party to the other Party as determined by the arbitrator(s) as set forth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11.2 shall be promptly paid in United States dollars free of any tax, deduction or offset; and any costs, fees or taxes incident to enforcing the award shall, to the maximum extent permitted by law, be charged against the losing Party. Each Party agrees to abide by the award rendered in any arbitration conducted pursuant to this Section 11.4, and agrees that, subject to the United States Federal Arbitration Act, 9 U.S.C. §§ 1-16, judgment may be entered upon the final award in any United States District Court located in New York and that other courts may award full faith and credit to such judgment in order to enforce such award. The award shall include interest from the date of any damages incurred for breach of the Agreement, and from the date of the award until paid in full, at a rate fixed by the arbitrator(s). With respect to money damages, nothing contained herein shall be construed to permit the arbitrator(s) or any court or any other forum to award consequential, incidental, special, punitive or exemplary damages. By entering into this agreement to arbitrate, the Parties expressly waive any claim for consequential, incidental, special, punitive or exemplary damages. The only damages recoverable under this Agreement are direct compensatory damages.</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11.5Costs. </w:t>
      </w:r>
      <w:r>
        <w:rPr>
          <w:rFonts w:ascii="Times New Roman" w:cs="Times New Roman" w:eastAsia="Times New Roman" w:hAnsi="Times New Roman"/>
          <w:sz w:val="22"/>
          <w:szCs w:val="22"/>
          <w:color w:val="auto"/>
        </w:rPr>
        <w:t>Each Party shall bear its own legal fees. The arbitrator(s) shall assess his or her costs, fees and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Party losing the arbitration.</w:t>
      </w:r>
    </w:p>
    <w:p>
      <w:pPr>
        <w:spacing w:after="0" w:line="151"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11.6Injunctive Relief. </w:t>
      </w:r>
      <w:r>
        <w:rPr>
          <w:rFonts w:ascii="Times New Roman" w:cs="Times New Roman" w:eastAsia="Times New Roman" w:hAnsi="Times New Roman"/>
          <w:sz w:val="20"/>
          <w:szCs w:val="20"/>
          <w:color w:val="auto"/>
        </w:rPr>
        <w:t>Nothing in this Article 11 will preclude either Party from seeking equitable relief or interim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 For the avoidance of doubt, nothing in this Section 11.6 shall otherwise limit a breaching Party’s opportunity to cure a material breach as permitted in accordance with Section 10.3.</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11.7Confidentiality. </w:t>
      </w:r>
      <w:r>
        <w:rPr>
          <w:rFonts w:ascii="Times New Roman" w:cs="Times New Roman" w:eastAsia="Times New Roman" w:hAnsi="Times New Roman"/>
          <w:sz w:val="22"/>
          <w:szCs w:val="22"/>
          <w:color w:val="auto"/>
        </w:rPr>
        <w:t>The arbitration proceeding shall be confidential and the arbitrator(s) shall issue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protective orders to safeguard each Party’s Confidential Information. Except as required by law, no 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11.8Survivability. </w:t>
      </w:r>
      <w:r>
        <w:rPr>
          <w:rFonts w:ascii="Times New Roman" w:cs="Times New Roman" w:eastAsia="Times New Roman" w:hAnsi="Times New Roman"/>
          <w:sz w:val="22"/>
          <w:szCs w:val="22"/>
          <w:color w:val="auto"/>
        </w:rPr>
        <w:t>Any duty to arbitrate under this Agreement shall remain in effect and be enforceable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this Agreement for any reason.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4" w:name="page85"/>
    <w:bookmarkEnd w:id="84"/>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11.9Jurisdiction</w:t>
      </w:r>
      <w:r>
        <w:rPr>
          <w:rFonts w:ascii="Times New Roman" w:cs="Times New Roman" w:eastAsia="Times New Roman" w:hAnsi="Times New Roman"/>
          <w:sz w:val="22"/>
          <w:szCs w:val="22"/>
          <w:color w:val="auto"/>
        </w:rPr>
        <w:t>. For the purposes of this Article 11, the Parties acknowledge their diversity and agree to accept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of any United States District Court located in New York for the purposes of enforcing or appealing any awards entered pursuant to this Article 11 and for enforcing the agreements reflected in this Article 11 and agree not to commence any action, suit or proceeding related thereto except in such courts.</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11.10Patent and Trademark Disputes. </w:t>
      </w:r>
      <w:r>
        <w:rPr>
          <w:rFonts w:ascii="Times New Roman" w:cs="Times New Roman" w:eastAsia="Times New Roman" w:hAnsi="Times New Roman"/>
          <w:sz w:val="22"/>
          <w:szCs w:val="22"/>
          <w:color w:val="auto"/>
        </w:rPr>
        <w:t>Notwithstanding any other provisions of this Article 11, any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controversy or claim relating to the scope, validity, enforceability or infringement of any Licensed Patents shall be submitted to a court of competent jurisdiction in the country in which such Patent was filed or granted.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12.1Entire Agreement; Amendment</w:t>
      </w:r>
      <w:r>
        <w:rPr>
          <w:rFonts w:ascii="Times New Roman" w:cs="Times New Roman" w:eastAsia="Times New Roman" w:hAnsi="Times New Roman"/>
          <w:sz w:val="22"/>
          <w:szCs w:val="22"/>
          <w:color w:val="auto"/>
        </w:rPr>
        <w:t>. This Agreement, including the Exhibits hereto, and the Related Agreements sets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other than as are set forth in this Agreement or the Related Agreements. No subsequent alteration, amendment, change or addition to this Agreement shall be binding upon the Parties unless reduced to writing and signed by an authorized officer of each Party.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12.2Rights in Bankruptcy</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1505"/>
        <w:spacing w:after="0" w:line="234" w:lineRule="auto"/>
        <w:tabs>
          <w:tab w:leader="none" w:pos="2007"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permitted under applicable Law, all rights and licenses granted under or pursuant to this Agreement by one Party to the other are, for all purposes of Title 11 of the United States Code (“</w:t>
      </w:r>
      <w:r>
        <w:rPr>
          <w:rFonts w:ascii="Times New Roman" w:cs="Times New Roman" w:eastAsia="Times New Roman" w:hAnsi="Times New Roman"/>
          <w:sz w:val="22"/>
          <w:szCs w:val="22"/>
          <w:b w:val="1"/>
          <w:bCs w:val="1"/>
          <w:color w:val="auto"/>
        </w:rPr>
        <w:t>Title 11</w:t>
      </w:r>
      <w:r>
        <w:rPr>
          <w:rFonts w:ascii="Times New Roman" w:cs="Times New Roman" w:eastAsia="Times New Roman" w:hAnsi="Times New Roman"/>
          <w:sz w:val="22"/>
          <w:szCs w:val="22"/>
          <w:color w:val="auto"/>
        </w:rPr>
        <w:t>”), licenses of rights to “intellectual property” as defined in Title 11, and, in the event that a case under Title 11 is commenced by or against either Party (the “</w:t>
      </w:r>
      <w:r>
        <w:rPr>
          <w:rFonts w:ascii="Times New Roman" w:cs="Times New Roman" w:eastAsia="Times New Roman" w:hAnsi="Times New Roman"/>
          <w:sz w:val="22"/>
          <w:szCs w:val="22"/>
          <w:b w:val="1"/>
          <w:bCs w:val="1"/>
          <w:color w:val="auto"/>
        </w:rPr>
        <w:t>Bankrupt Party</w:t>
      </w:r>
      <w:r>
        <w:rPr>
          <w:rFonts w:ascii="Times New Roman" w:cs="Times New Roman" w:eastAsia="Times New Roman" w:hAnsi="Times New Roman"/>
          <w:sz w:val="22"/>
          <w:szCs w:val="22"/>
          <w:color w:val="auto"/>
        </w:rPr>
        <w:t>”), the other Party shall have all of the rights set forth in Section 365(n) of Title 11 to the maximum extent permitted thereby. All rights of the Parties under this Section 12.2 and under Section 365(n) of Title 11 are in addition to and not in substitution of any and all other rights, powers, and remedies that each party may have under this Agreement, Title 11, and any other applicable Laws. The non-Bankrupt Party shall have the right to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07"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intellectual property provided pursuant to the provisions of this Section 12.2 shall be subject to the licenses set forth elsewhere in this Agreement and the payment obligations of this Agreement, which shall be deemed to be royalties for purposes of Title 11.</w:t>
      </w:r>
    </w:p>
    <w:p>
      <w:pPr>
        <w:spacing w:after="0" w:line="16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12.3Force Majeure</w:t>
      </w:r>
      <w:r>
        <w:rPr>
          <w:rFonts w:ascii="Times New Roman" w:cs="Times New Roman" w:eastAsia="Times New Roman" w:hAnsi="Times New Roman"/>
          <w:sz w:val="22"/>
          <w:szCs w:val="22"/>
          <w:color w:val="auto"/>
        </w:rPr>
        <w:t>. Both Parties shall be excused from the performance of their obligations under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extent that such performance is prevented by force majeure and the nonperforming Party promptly provides notice of the prevention to the other Party. Such</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5" w:name="page86"/>
    <w:bookmarkEnd w:id="85"/>
    <w:p>
      <w:pPr>
        <w:jc w:val="both"/>
        <w:spacing w:after="0" w:line="234" w:lineRule="auto"/>
        <w:rPr>
          <w:sz w:val="20"/>
          <w:szCs w:val="20"/>
          <w:color w:val="auto"/>
        </w:rPr>
      </w:pPr>
      <w:r>
        <w:rPr>
          <w:rFonts w:ascii="Times New Roman" w:cs="Times New Roman" w:eastAsia="Times New Roman" w:hAnsi="Times New Roman"/>
          <w:sz w:val="22"/>
          <w:szCs w:val="22"/>
          <w:color w:val="auto"/>
        </w:rPr>
        <w:t>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12.4Notices</w:t>
      </w:r>
      <w:r>
        <w:rPr>
          <w:rFonts w:ascii="Times New Roman" w:cs="Times New Roman" w:eastAsia="Times New Roman" w:hAnsi="Times New Roman"/>
          <w:sz w:val="22"/>
          <w:szCs w:val="22"/>
          <w:color w:val="auto"/>
        </w:rPr>
        <w:t>. Any notice required or permitted to be given under this Agreement shall be in writing, shall specifically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 to this Agreement, and shall be addressed to the appropriate Party at the address specified below or such other address as may be specified by such Party in writing in accordance with this Section 12.4,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pacing w:after="0" w:line="179" w:lineRule="exact"/>
        <w:rPr>
          <w:sz w:val="20"/>
          <w:szCs w:val="20"/>
          <w:color w:val="auto"/>
        </w:rPr>
      </w:pPr>
    </w:p>
    <w:p>
      <w:pPr>
        <w:jc w:val="right"/>
        <w:ind w:right="9240"/>
        <w:spacing w:after="0"/>
        <w:rPr>
          <w:sz w:val="20"/>
          <w:szCs w:val="20"/>
          <w:color w:val="auto"/>
        </w:rPr>
      </w:pPr>
      <w:r>
        <w:rPr>
          <w:rFonts w:ascii="Times New Roman" w:cs="Times New Roman" w:eastAsia="Times New Roman" w:hAnsi="Times New Roman"/>
          <w:sz w:val="22"/>
          <w:szCs w:val="22"/>
          <w:color w:val="auto"/>
        </w:rPr>
        <w:t>If to Precigen:</w:t>
      </w:r>
    </w:p>
    <w:p>
      <w:pPr>
        <w:spacing w:after="0" w:line="3" w:lineRule="exact"/>
        <w:rPr>
          <w:sz w:val="20"/>
          <w:szCs w:val="20"/>
          <w:color w:val="auto"/>
        </w:rPr>
      </w:pPr>
    </w:p>
    <w:p>
      <w:pPr>
        <w:jc w:val="right"/>
        <w:ind w:right="9180"/>
        <w:spacing w:after="0"/>
        <w:rPr>
          <w:sz w:val="20"/>
          <w:szCs w:val="20"/>
          <w:color w:val="auto"/>
        </w:rPr>
      </w:pPr>
      <w:r>
        <w:rPr>
          <w:rFonts w:ascii="Times New Roman" w:cs="Times New Roman" w:eastAsia="Times New Roman" w:hAnsi="Times New Roman"/>
          <w:sz w:val="22"/>
          <w:szCs w:val="22"/>
          <w:color w:val="auto"/>
        </w:rPr>
        <w:t>Precigen, Inc.</w:t>
      </w:r>
    </w:p>
    <w:p>
      <w:pPr>
        <w:ind w:left="880"/>
        <w:spacing w:after="0" w:line="230" w:lineRule="auto"/>
        <w:rPr>
          <w:sz w:val="20"/>
          <w:szCs w:val="20"/>
          <w:color w:val="auto"/>
        </w:rPr>
      </w:pPr>
      <w:r>
        <w:rPr>
          <w:rFonts w:ascii="Times New Roman" w:cs="Times New Roman" w:eastAsia="Times New Roman" w:hAnsi="Times New Roman"/>
          <w:sz w:val="22"/>
          <w:szCs w:val="22"/>
          <w:color w:val="auto"/>
        </w:rPr>
        <w:t>20374 Seneca Meadows Parkway</w:t>
      </w:r>
    </w:p>
    <w:p>
      <w:pPr>
        <w:ind w:left="880"/>
        <w:spacing w:after="0" w:line="230" w:lineRule="auto"/>
        <w:rPr>
          <w:sz w:val="20"/>
          <w:szCs w:val="20"/>
          <w:color w:val="auto"/>
        </w:rPr>
      </w:pPr>
      <w:r>
        <w:rPr>
          <w:rFonts w:ascii="Times New Roman" w:cs="Times New Roman" w:eastAsia="Times New Roman" w:hAnsi="Times New Roman"/>
          <w:sz w:val="22"/>
          <w:szCs w:val="22"/>
          <w:color w:val="auto"/>
        </w:rPr>
        <w:t>Germantown, MD 20876</w:t>
      </w:r>
    </w:p>
    <w:p>
      <w:pPr>
        <w:ind w:left="880"/>
        <w:spacing w:after="0" w:line="230" w:lineRule="auto"/>
        <w:rPr>
          <w:sz w:val="20"/>
          <w:szCs w:val="20"/>
          <w:color w:val="auto"/>
        </w:rPr>
      </w:pPr>
      <w:r>
        <w:rPr>
          <w:rFonts w:ascii="Times New Roman" w:cs="Times New Roman" w:eastAsia="Times New Roman" w:hAnsi="Times New Roman"/>
          <w:sz w:val="22"/>
          <w:szCs w:val="22"/>
          <w:color w:val="auto"/>
        </w:rPr>
        <w:t>Attn: Chief Legal Officer</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Email: [***]</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Alaunos:</w:t>
      </w:r>
    </w:p>
    <w:p>
      <w:pPr>
        <w:spacing w:after="0" w:line="2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Alaunos Therapeutics</w:t>
      </w:r>
    </w:p>
    <w:p>
      <w:pPr>
        <w:spacing w:after="0" w:line="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8030 El Rio</w:t>
      </w:r>
    </w:p>
    <w:p>
      <w:pPr>
        <w:ind w:left="3580"/>
        <w:spacing w:after="0" w:line="230" w:lineRule="auto"/>
        <w:rPr>
          <w:sz w:val="20"/>
          <w:szCs w:val="20"/>
          <w:color w:val="auto"/>
        </w:rPr>
      </w:pPr>
      <w:r>
        <w:rPr>
          <w:rFonts w:ascii="Times New Roman" w:cs="Times New Roman" w:eastAsia="Times New Roman" w:hAnsi="Times New Roman"/>
          <w:sz w:val="22"/>
          <w:szCs w:val="22"/>
          <w:color w:val="auto"/>
        </w:rPr>
        <w:t>Houston, Texas 77054</w:t>
      </w:r>
    </w:p>
    <w:p>
      <w:pPr>
        <w:ind w:left="3580"/>
        <w:spacing w:after="0" w:line="230" w:lineRule="auto"/>
        <w:rPr>
          <w:sz w:val="20"/>
          <w:szCs w:val="20"/>
          <w:color w:val="auto"/>
        </w:rPr>
      </w:pPr>
      <w:r>
        <w:rPr>
          <w:rFonts w:ascii="Times New Roman" w:cs="Times New Roman" w:eastAsia="Times New Roman" w:hAnsi="Times New Roman"/>
          <w:sz w:val="22"/>
          <w:szCs w:val="22"/>
          <w:color w:val="auto"/>
        </w:rPr>
        <w:t>Attn: General Counsel</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Email: [***]</w:t>
      </w:r>
    </w:p>
    <w:p>
      <w:pPr>
        <w:spacing w:after="0" w:line="20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12.5No Strict Construction; Headings</w:t>
      </w:r>
      <w:r>
        <w:rPr>
          <w:rFonts w:ascii="Times New Roman" w:cs="Times New Roman" w:eastAsia="Times New Roman" w:hAnsi="Times New Roman"/>
          <w:sz w:val="22"/>
          <w:szCs w:val="22"/>
          <w:color w:val="auto"/>
        </w:rPr>
        <w:t>. This Agreement has been prepared jointly by the Parties and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6" w:name="page87"/>
    <w:bookmarkEnd w:id="86"/>
    <w:p>
      <w:pPr>
        <w:jc w:val="both"/>
        <w:ind w:firstLine="749"/>
        <w:spacing w:after="0" w:line="259" w:lineRule="auto"/>
        <w:rPr>
          <w:sz w:val="20"/>
          <w:szCs w:val="20"/>
          <w:color w:val="auto"/>
        </w:rPr>
      </w:pPr>
      <w:r>
        <w:rPr>
          <w:rFonts w:ascii="Times New Roman" w:cs="Times New Roman" w:eastAsia="Times New Roman" w:hAnsi="Times New Roman"/>
          <w:sz w:val="20"/>
          <w:szCs w:val="20"/>
          <w:b w:val="1"/>
          <w:bCs w:val="1"/>
          <w:color w:val="auto"/>
        </w:rPr>
        <w:t>12.6Assignment</w:t>
      </w:r>
      <w:r>
        <w:rPr>
          <w:rFonts w:ascii="Times New Roman" w:cs="Times New Roman" w:eastAsia="Times New Roman" w:hAnsi="Times New Roman"/>
          <w:sz w:val="20"/>
          <w:szCs w:val="20"/>
          <w:color w:val="auto"/>
        </w:rPr>
        <w:t>. Neither Party may assign or transfer this Agreement or any rights or obligations hereunder without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written consent of the other, which consent shall not be unreasonably withheld or delayed, except that a Party may make such an assignment or transfer without the other Party’s consent (a) to its Affiliates, (b) to a Third Party in connection with the transfer or sale of all or substantially all of the business or assets of such Party to which this Agreement relates, whether by merger, consolidation, divesture, restructure, sale of stock, sale of assets or otherwise or (c) to a Third Party in connection with the transfer or sale of all or substantially all of the business or assets of such Party relating to a Licensed Product, whether by merger, consolidation, divesture, restructure, sale of stock, sale of assets or otherwise. Any successor or assignee of rights and/or obligations permitted hereunder shall, in writing to the other Party, expressly assume performance of such rights and/or obligations. Any permitted assignment shall be binding on the successors of the assigning Party. Any assignment or attempted assignment by either Party in violation of the terms of this Section 12.6 shall be null, void and of no legal effect.</w:t>
      </w:r>
    </w:p>
    <w:p>
      <w:pPr>
        <w:spacing w:after="0" w:line="161"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b w:val="1"/>
          <w:bCs w:val="1"/>
          <w:color w:val="auto"/>
        </w:rPr>
        <w:t>12.7Performance by Affiliates</w:t>
      </w:r>
      <w:r>
        <w:rPr>
          <w:rFonts w:ascii="Times New Roman" w:cs="Times New Roman" w:eastAsia="Times New Roman" w:hAnsi="Times New Roman"/>
          <w:sz w:val="20"/>
          <w:szCs w:val="20"/>
          <w:color w:val="auto"/>
        </w:rPr>
        <w:t>. Each Party may discharge any obligations and exercise any right hereunder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5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12.8Further Actions</w:t>
      </w:r>
      <w:r>
        <w:rPr>
          <w:rFonts w:ascii="Times New Roman" w:cs="Times New Roman" w:eastAsia="Times New Roman" w:hAnsi="Times New Roman"/>
          <w:sz w:val="22"/>
          <w:szCs w:val="22"/>
          <w:color w:val="auto"/>
        </w:rPr>
        <w:t>. Each Party agrees to execute, acknowledge and deliver such further instruments, and to do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other acts, as may be necessary or appropriate in order to carry out the purposes and intent of this Agreement.</w:t>
      </w:r>
    </w:p>
    <w:p>
      <w:pPr>
        <w:spacing w:after="0" w:line="15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12.9Severability</w:t>
      </w:r>
      <w:r>
        <w:rPr>
          <w:rFonts w:ascii="Times New Roman" w:cs="Times New Roman" w:eastAsia="Times New Roman" w:hAnsi="Times New Roman"/>
          <w:sz w:val="22"/>
          <w:szCs w:val="22"/>
          <w:color w:val="auto"/>
        </w:rPr>
        <w:t>. If any one or more of the provisions of this Agreement is held to be invalid or unenforceable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12.10No Waiver</w:t>
      </w:r>
      <w:r>
        <w:rPr>
          <w:rFonts w:ascii="Times New Roman" w:cs="Times New Roman" w:eastAsia="Times New Roman" w:hAnsi="Times New Roman"/>
          <w:sz w:val="22"/>
          <w:szCs w:val="22"/>
          <w:color w:val="auto"/>
        </w:rPr>
        <w:t>. Any delay in enforcing a Party’s rights under this Agreement or any waiver as to a particular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6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12.11Independent Contractors</w:t>
      </w:r>
      <w:r>
        <w:rPr>
          <w:rFonts w:ascii="Times New Roman" w:cs="Times New Roman" w:eastAsia="Times New Roman" w:hAnsi="Times New Roman"/>
          <w:sz w:val="22"/>
          <w:szCs w:val="22"/>
          <w:color w:val="auto"/>
        </w:rPr>
        <w:t>. Each Party shall act solely as an independent contractor, and nothing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7" w:name="page88"/>
    <w:bookmarkEnd w:id="87"/>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12.12Counterparts. </w:t>
      </w:r>
      <w:r>
        <w:rPr>
          <w:rFonts w:ascii="Times New Roman" w:cs="Times New Roman" w:eastAsia="Times New Roman" w:hAnsi="Times New Roman"/>
          <w:sz w:val="22"/>
          <w:szCs w:val="22"/>
          <w:color w:val="auto"/>
        </w:rPr>
        <w:t>This Agreement may be executed in one (1) or more counterparts, each of which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all of which together shall constitute one and the same instrument.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8" w:name="page89"/>
    <w:bookmarkEnd w:id="88"/>
    <w:p>
      <w:pPr>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executed this Amended and Restated Exclusive License Agreement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launos</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recigen</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Melinda Lackey</w:t>
            </w:r>
          </w:p>
        </w:tc>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Donald P. Lehr</w:t>
            </w:r>
          </w:p>
        </w:tc>
      </w:tr>
      <w:tr>
        <w:trPr>
          <w:trHeight w:val="20"/>
        </w:trPr>
        <w:tc>
          <w:tcPr>
            <w:tcW w:w="3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491"/>
        </w:trPr>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Melinda Lackey</w:t>
            </w:r>
          </w:p>
        </w:tc>
        <w:tc>
          <w:tcPr>
            <w:tcW w:w="3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 Donald P. Lehr</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 Legal and Title: Chief Legal Officer</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Administrative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Exclusive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LIST OF EXHIBITS:</w:t>
      </w:r>
    </w:p>
    <w:p>
      <w:pPr>
        <w:spacing w:after="0" w:line="2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0"/>
          <w:szCs w:val="20"/>
          <w:color w:val="auto"/>
        </w:rPr>
        <w:t>Licensed Patents</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0"/>
          <w:szCs w:val="20"/>
          <w:color w:val="auto"/>
        </w:rPr>
        <w:t>Third Party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6" w:right="1440" w:bottom="1440" w:gutter="0" w:footer="0" w:header="0"/>
        </w:sectPr>
      </w:pPr>
    </w:p>
    <w:bookmarkStart w:id="90" w:name="page91"/>
    <w:bookmarkEnd w:id="90"/>
    <w:p>
      <w:pPr>
        <w:jc w:val="right"/>
        <w:ind w:right="3179"/>
        <w:spacing w:after="0"/>
        <w:rPr>
          <w:sz w:val="20"/>
          <w:szCs w:val="20"/>
          <w:color w:val="auto"/>
        </w:rPr>
      </w:pPr>
      <w:r>
        <w:rPr>
          <w:rFonts w:ascii="Times New Roman" w:cs="Times New Roman" w:eastAsia="Times New Roman" w:hAnsi="Times New Roman"/>
          <w:sz w:val="22"/>
          <w:szCs w:val="22"/>
          <w:b w:val="1"/>
          <w:bCs w:val="1"/>
          <w:u w:val="single" w:color="auto"/>
          <w:color w:val="auto"/>
        </w:rPr>
        <w:t>Exhibit A – Licensed Patents</w:t>
      </w:r>
    </w:p>
    <w:p>
      <w:pPr>
        <w:spacing w:after="0" w:line="210" w:lineRule="exact"/>
        <w:rPr>
          <w:sz w:val="20"/>
          <w:szCs w:val="20"/>
          <w:color w:val="auto"/>
        </w:rPr>
      </w:pPr>
    </w:p>
    <w:p>
      <w:pPr>
        <w:ind w:left="380" w:hanging="378"/>
        <w:spacing w:after="0"/>
        <w:tabs>
          <w:tab w:leader="none" w:pos="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1330960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526" w:right="1440" w:bottom="1440" w:gutter="0" w:footer="0" w:header="0"/>
        </w:sectPr>
      </w:pPr>
    </w:p>
    <w:bookmarkStart w:id="91" w:name="page92"/>
    <w:bookmarkEnd w:id="91"/>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 - T</w:t>
      </w:r>
      <w:r>
        <w:rPr>
          <w:rFonts w:ascii="Times New Roman" w:cs="Times New Roman" w:eastAsia="Times New Roman" w:hAnsi="Times New Roman"/>
          <w:sz w:val="14"/>
          <w:szCs w:val="14"/>
          <w:b w:val="1"/>
          <w:bCs w:val="1"/>
          <w:u w:val="single" w:color="auto"/>
          <w:color w:val="auto"/>
        </w:rPr>
        <w:t>hird</w:t>
      </w:r>
      <w:r>
        <w:rPr>
          <w:rFonts w:ascii="Times New Roman" w:cs="Times New Roman" w:eastAsia="Times New Roman" w:hAnsi="Times New Roman"/>
          <w:sz w:val="22"/>
          <w:szCs w:val="22"/>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arty</w:t>
      </w:r>
      <w:r>
        <w:rPr>
          <w:rFonts w:ascii="Times New Roman" w:cs="Times New Roman" w:eastAsia="Times New Roman" w:hAnsi="Times New Roman"/>
          <w:sz w:val="22"/>
          <w:szCs w:val="22"/>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icenses</w:t>
      </w:r>
    </w:p>
    <w:p>
      <w:pPr>
        <w:spacing w:after="0" w:line="200" w:lineRule="exact"/>
        <w:rPr>
          <w:sz w:val="20"/>
          <w:szCs w:val="20"/>
          <w:color w:val="auto"/>
        </w:rPr>
      </w:pPr>
    </w:p>
    <w:p>
      <w:pPr>
        <w:spacing w:after="0" w:line="279" w:lineRule="exact"/>
        <w:rPr>
          <w:sz w:val="20"/>
          <w:szCs w:val="20"/>
          <w:color w:val="auto"/>
        </w:rPr>
      </w:pPr>
    </w:p>
    <w:p>
      <w:pPr>
        <w:ind w:left="380" w:right="420" w:hanging="378"/>
        <w:spacing w:after="0" w:line="258"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Agreement by and among Intrexon Corporation, Alaunos and MDACC with an effective date of January 13, 2015, as amended, and as assigned by Intrexon and assumed by Precigen effective as of January 1, 2018.</w:t>
      </w:r>
    </w:p>
    <w:p>
      <w:pPr>
        <w:spacing w:after="0" w:line="184" w:lineRule="exact"/>
        <w:rPr>
          <w:rFonts w:ascii="Times New Roman" w:cs="Times New Roman" w:eastAsia="Times New Roman" w:hAnsi="Times New Roman"/>
          <w:sz w:val="22"/>
          <w:szCs w:val="22"/>
          <w:color w:val="auto"/>
        </w:rPr>
      </w:pPr>
    </w:p>
    <w:p>
      <w:pPr>
        <w:ind w:left="380" w:hanging="378"/>
        <w:spacing w:after="0" w:line="258" w:lineRule="auto"/>
        <w:tabs>
          <w:tab w:leader="none" w:pos="3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 Agreement by and among Precigen, Alaunos and MDACC with an effective date of January 8, 2018,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1029335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36" w:right="339" w:bottom="1440" w:gutter="0" w:footer="0" w:header="0"/>
        </w:sectPr>
      </w:pPr>
    </w:p>
    <w:bookmarkStart w:id="92" w:name="page93"/>
    <w:bookmarkEnd w:id="92"/>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5559425</wp:posOffset>
            </wp:positionH>
            <wp:positionV relativeFrom="page">
              <wp:posOffset>88900</wp:posOffset>
            </wp:positionV>
            <wp:extent cx="1755140" cy="8731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755140" cy="87312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29,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Drew Deniger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Drew,</w:t>
      </w:r>
    </w:p>
    <w:p>
      <w:pPr>
        <w:spacing w:after="0" w:line="20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Thank you for considering employment with Ziopharm Oncology, Inc (the “Company”). We are impressed with your credentials and accomplishments. We believe your training and experience will make you a tremendous asset at this exciting time in the company’s development. I am pleased, therefore, to formally offer you a Sr. Scientific/Management role at our Houston laboratory, reporting to Ellee de Groot. Over the coming months, we will work together to refine the title and job description.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this offer and compensation are as follows:</w:t>
      </w:r>
    </w:p>
    <w:p>
      <w:pPr>
        <w:spacing w:after="0" w:line="203"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semi-monthly salary will be $12,916.66 ($310,000 if annualized). You will be scheduled for an annual performance review.</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eligible for a discretionary performance bonus potential of up to 30% of your base salary.</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eligible for a severance agreement in the amount of 3 months.</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eligible to receive a one-time sign-on bonus in the amount of $35,000</w:t>
      </w:r>
    </w:p>
    <w:p>
      <w:pPr>
        <w:spacing w:after="0" w:line="135" w:lineRule="exact"/>
        <w:rPr>
          <w:rFonts w:ascii="Times New Roman" w:cs="Times New Roman" w:eastAsia="Times New Roman" w:hAnsi="Times New Roman"/>
          <w:sz w:val="14"/>
          <w:szCs w:val="14"/>
          <w:color w:val="auto"/>
        </w:rPr>
      </w:pPr>
    </w:p>
    <w:p>
      <w:pPr>
        <w:ind w:left="760" w:right="300" w:hanging="378"/>
        <w:spacing w:after="0" w:line="258" w:lineRule="auto"/>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reimburse you up to $20,000 for moving expenses incurred in relocating your belongings to the Houston area. This includes direct bill for movers, all moving expenses, and house hunting travel for your spouse. The Company will not reimburse you for closing costs, rental money/mortgage, or furniture purchases.</w:t>
      </w:r>
    </w:p>
    <w:p>
      <w:pPr>
        <w:spacing w:after="0" w:line="9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cover the cost of temporary housing in the Houston area for up to 3 months if needed.</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entitled to all company benefits outlined in the accompanying Benefits Overview. Additional questions regarding the benefits can be directed to me at __________.</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will be entitled to accrue paid vacation at the rate of 3 weeks per year.</w:t>
      </w:r>
    </w:p>
    <w:p>
      <w:pPr>
        <w:spacing w:after="0" w:line="135" w:lineRule="exact"/>
        <w:rPr>
          <w:rFonts w:ascii="Times New Roman" w:cs="Times New Roman" w:eastAsia="Times New Roman" w:hAnsi="Times New Roman"/>
          <w:sz w:val="14"/>
          <w:szCs w:val="14"/>
          <w:color w:val="auto"/>
        </w:rPr>
      </w:pPr>
    </w:p>
    <w:p>
      <w:pPr>
        <w:jc w:val="both"/>
        <w:ind w:left="760" w:hanging="378"/>
        <w:spacing w:after="0" w:line="239" w:lineRule="auto"/>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approval of the Board of Directors of the Company, you will be eligible for a new hire stock option grant of 50,000 shares. Any such options will be granted on the later of the date on which you commence employment with the Company or the date of board approval will be evidenced by a stock option agreement and will vest, if at all, in accordance with that agreement and the Company’s 2012 stock option plan.</w:t>
      </w:r>
    </w:p>
    <w:p>
      <w:pPr>
        <w:spacing w:after="0" w:line="112" w:lineRule="exact"/>
        <w:rPr>
          <w:rFonts w:ascii="Times New Roman" w:cs="Times New Roman" w:eastAsia="Times New Roman" w:hAnsi="Times New Roman"/>
          <w:sz w:val="14"/>
          <w:szCs w:val="14"/>
          <w:color w:val="auto"/>
        </w:rPr>
      </w:pPr>
    </w:p>
    <w:p>
      <w:pPr>
        <w:ind w:left="760" w:hanging="378"/>
        <w:spacing w:after="0" w:line="258" w:lineRule="auto"/>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note that this offer is contingent upon the successful completion of an employment background check. We require that all ZIOPHARM Oncology, Inc. employees have a completed employment background check on file.</w:t>
      </w:r>
    </w:p>
    <w:p>
      <w:pPr>
        <w:spacing w:after="0" w:line="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As with all Ziopharm employees, this is employment at-will and may be terminated by either party at any time, for any reason, without previous notice. This offer letter is not an employment contract and should not be construed as a contract; Ziopharm has the right to change or modify the terms of your employment at any time. No supervisor or other representative of the Company, except our CEO, has any authority to enter into any type of employment agreement with any employee. Any employment agreement entered into by Ziopharm must be in writing.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Enclosed, please find an Invention, Non-Disclosure and Non-Competition Agreement for your review. You will be required to sign this agreement upon commencement of your employment with Ziopharm. If you have any questions regarding this agreement, please do not hesitate to contact 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indicate your acceptance of the terms of this offer by signing and returning one copy of this letter by scan/email (_______) by Thursday, November 1, 2018. If you agree to the terms of</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employment we can discuss a mutually agreed upon start date, but anticipate it will be no later than mid-August of 2019. Drew, we look forward to welcoming you as a member of the Ziopharm team!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Amy Emery</w:t>
      </w:r>
    </w:p>
    <w:p>
      <w:pPr>
        <w:spacing w:after="0" w:line="226" w:lineRule="auto"/>
        <w:rPr>
          <w:sz w:val="20"/>
          <w:szCs w:val="20"/>
          <w:color w:val="auto"/>
        </w:rPr>
      </w:pPr>
      <w:r>
        <w:rPr>
          <w:rFonts w:ascii="Times New Roman" w:cs="Times New Roman" w:eastAsia="Times New Roman" w:hAnsi="Times New Roman"/>
          <w:sz w:val="14"/>
          <w:szCs w:val="14"/>
          <w:color w:val="auto"/>
        </w:rPr>
        <w:t>Amy Emery</w:t>
      </w:r>
    </w:p>
    <w:p>
      <w:pPr>
        <w:spacing w:after="0"/>
        <w:rPr>
          <w:sz w:val="20"/>
          <w:szCs w:val="20"/>
          <w:color w:val="auto"/>
        </w:rPr>
      </w:pPr>
      <w:r>
        <w:rPr>
          <w:rFonts w:ascii="Times New Roman" w:cs="Times New Roman" w:eastAsia="Times New Roman" w:hAnsi="Times New Roman"/>
          <w:sz w:val="14"/>
          <w:szCs w:val="14"/>
          <w:color w:val="auto"/>
        </w:rPr>
        <w:t>Human Resources Manager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agree to the terms of employment as outlined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5"/>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 Drew Deniger</w:t>
            </w:r>
          </w:p>
        </w:tc>
        <w:tc>
          <w:tcPr>
            <w:tcW w:w="442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10/31/2018</w:t>
            </w:r>
          </w:p>
        </w:tc>
        <w:tc>
          <w:tcPr>
            <w:tcW w:w="1800" w:type="dxa"/>
            <w:vAlign w:val="bottom"/>
          </w:tcPr>
          <w:p>
            <w:pPr>
              <w:spacing w:after="0"/>
              <w:rPr>
                <w:sz w:val="16"/>
                <w:szCs w:val="16"/>
                <w:color w:val="auto"/>
              </w:rPr>
            </w:pPr>
          </w:p>
        </w:tc>
      </w:tr>
      <w:tr>
        <w:trPr>
          <w:trHeight w:val="180"/>
        </w:trPr>
        <w:tc>
          <w:tcPr>
            <w:tcW w:w="50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Drew Deniger</w:t>
            </w:r>
          </w:p>
        </w:tc>
        <w:tc>
          <w:tcPr>
            <w:tcW w:w="1660" w:type="dxa"/>
            <w:vAlign w:val="bottom"/>
          </w:tcPr>
          <w:p>
            <w:pPr>
              <w:spacing w:after="0"/>
              <w:rPr>
                <w:sz w:val="15"/>
                <w:szCs w:val="15"/>
                <w:color w:val="auto"/>
              </w:rPr>
            </w:pPr>
          </w:p>
        </w:tc>
        <w:tc>
          <w:tcPr>
            <w:tcW w:w="27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Date</w:t>
            </w:r>
          </w:p>
        </w:tc>
        <w:tc>
          <w:tcPr>
            <w:tcW w:w="1800" w:type="dxa"/>
            <w:vAlign w:val="bottom"/>
          </w:tcPr>
          <w:p>
            <w:pPr>
              <w:spacing w:after="0"/>
              <w:rPr>
                <w:sz w:val="15"/>
                <w:szCs w:val="15"/>
                <w:color w:val="auto"/>
              </w:rPr>
            </w:pPr>
          </w:p>
        </w:tc>
      </w:tr>
      <w:tr>
        <w:trPr>
          <w:trHeight w:val="536"/>
        </w:trPr>
        <w:tc>
          <w:tcPr>
            <w:tcW w:w="50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242424"/>
        </w:rPr>
        <w:t>SEVERANCE AGREEMENT</w:t>
      </w:r>
    </w:p>
    <w:p>
      <w:pPr>
        <w:spacing w:after="0" w:line="238" w:lineRule="exact"/>
        <w:rPr>
          <w:sz w:val="20"/>
          <w:szCs w:val="20"/>
          <w:color w:val="auto"/>
        </w:rPr>
      </w:pPr>
    </w:p>
    <w:p>
      <w:pPr>
        <w:jc w:val="both"/>
        <w:ind w:right="160" w:firstLine="741"/>
        <w:spacing w:after="0" w:line="253" w:lineRule="auto"/>
        <w:rPr>
          <w:sz w:val="20"/>
          <w:szCs w:val="20"/>
          <w:color w:val="auto"/>
        </w:rPr>
      </w:pPr>
      <w:r>
        <w:rPr>
          <w:rFonts w:ascii="Times New Roman" w:cs="Times New Roman" w:eastAsia="Times New Roman" w:hAnsi="Times New Roman"/>
          <w:sz w:val="20"/>
          <w:szCs w:val="20"/>
          <w:color w:val="242424"/>
        </w:rPr>
        <w:t>This Severance Agreement ("Agreement") is made effective as of July 29, 2019 (the "Effective Date") between Drew Deniger ("Employee") and ZIOPHARM Oncology, Inc., a Delaware corporation (the "Company"). Employee and the Company are hereinafter collectively referred to as the "Parties."</w:t>
      </w:r>
    </w:p>
    <w:p>
      <w:pPr>
        <w:spacing w:after="0" w:line="203" w:lineRule="exact"/>
        <w:rPr>
          <w:sz w:val="20"/>
          <w:szCs w:val="20"/>
          <w:color w:val="auto"/>
        </w:rPr>
      </w:pPr>
    </w:p>
    <w:p>
      <w:pPr>
        <w:jc w:val="both"/>
        <w:ind w:right="160" w:firstLine="753"/>
        <w:spacing w:after="0" w:line="268" w:lineRule="auto"/>
        <w:rPr>
          <w:sz w:val="20"/>
          <w:szCs w:val="20"/>
          <w:color w:val="auto"/>
        </w:rPr>
      </w:pPr>
      <w:r>
        <w:rPr>
          <w:rFonts w:ascii="Times New Roman" w:cs="Times New Roman" w:eastAsia="Times New Roman" w:hAnsi="Times New Roman"/>
          <w:sz w:val="20"/>
          <w:szCs w:val="20"/>
          <w:color w:val="242424"/>
        </w:rPr>
        <w:t>WHEREAS, the Employee is employed by the Company in the position of VP, Immunology on the terms set forth in an offer letter dated October 29, 2018 (the "Offer Letter"); and</w:t>
      </w:r>
    </w:p>
    <w:p>
      <w:pPr>
        <w:spacing w:after="0" w:line="201" w:lineRule="exact"/>
        <w:rPr>
          <w:sz w:val="20"/>
          <w:szCs w:val="20"/>
          <w:color w:val="auto"/>
        </w:rPr>
      </w:pPr>
    </w:p>
    <w:p>
      <w:pPr>
        <w:jc w:val="both"/>
        <w:ind w:right="160" w:firstLine="758"/>
        <w:spacing w:after="0" w:line="268" w:lineRule="auto"/>
        <w:rPr>
          <w:sz w:val="20"/>
          <w:szCs w:val="20"/>
          <w:color w:val="auto"/>
        </w:rPr>
      </w:pPr>
      <w:r>
        <w:rPr>
          <w:rFonts w:ascii="Times New Roman" w:cs="Times New Roman" w:eastAsia="Times New Roman" w:hAnsi="Times New Roman"/>
          <w:sz w:val="20"/>
          <w:szCs w:val="20"/>
          <w:color w:val="242424"/>
        </w:rPr>
        <w:t>WHEREAS, pursuant to the terms of the Offer Letter, the Company intends to provide Employee with severance benefits in the event Employee's employment with the Company is terminated without Cause (as such term is hereinafter defined).</w:t>
      </w:r>
    </w:p>
    <w:p>
      <w:pPr>
        <w:spacing w:after="0" w:line="188" w:lineRule="exact"/>
        <w:rPr>
          <w:sz w:val="20"/>
          <w:szCs w:val="20"/>
          <w:color w:val="auto"/>
        </w:rPr>
      </w:pPr>
    </w:p>
    <w:p>
      <w:pPr>
        <w:jc w:val="both"/>
        <w:ind w:right="160" w:firstLine="755"/>
        <w:spacing w:after="0" w:line="268" w:lineRule="auto"/>
        <w:rPr>
          <w:sz w:val="20"/>
          <w:szCs w:val="20"/>
          <w:color w:val="auto"/>
        </w:rPr>
      </w:pPr>
      <w:r>
        <w:rPr>
          <w:rFonts w:ascii="Times New Roman" w:cs="Times New Roman" w:eastAsia="Times New Roman" w:hAnsi="Times New Roman"/>
          <w:sz w:val="20"/>
          <w:szCs w:val="20"/>
          <w:color w:val="242424"/>
        </w:rPr>
        <w:t>NOW, THEREFORE, for good and valuable consideration, the receipt and sufficiency of which are hereby acknowledged by the parties, Employee and the Company hereby agree as follows:</w:t>
      </w:r>
    </w:p>
    <w:p>
      <w:pPr>
        <w:spacing w:after="0" w:line="188" w:lineRule="exact"/>
        <w:rPr>
          <w:sz w:val="20"/>
          <w:szCs w:val="20"/>
          <w:color w:val="auto"/>
        </w:rPr>
      </w:pPr>
    </w:p>
    <w:p>
      <w:pPr>
        <w:ind w:right="140" w:firstLine="754"/>
        <w:spacing w:after="0" w:line="268" w:lineRule="auto"/>
        <w:rPr>
          <w:sz w:val="20"/>
          <w:szCs w:val="20"/>
          <w:color w:val="auto"/>
        </w:rPr>
      </w:pPr>
      <w:r>
        <w:rPr>
          <w:rFonts w:ascii="Times New Roman" w:cs="Times New Roman" w:eastAsia="Times New Roman" w:hAnsi="Times New Roman"/>
          <w:sz w:val="20"/>
          <w:szCs w:val="20"/>
          <w:color w:val="242424"/>
        </w:rPr>
        <w:t>1.</w:t>
      </w:r>
      <w:r>
        <w:rPr>
          <w:rFonts w:ascii="Times New Roman" w:cs="Times New Roman" w:eastAsia="Times New Roman" w:hAnsi="Times New Roman"/>
          <w:sz w:val="20"/>
          <w:szCs w:val="20"/>
          <w:u w:val="single" w:color="auto"/>
          <w:color w:val="3A3A3A"/>
        </w:rPr>
        <w:t>Employment.</w:t>
      </w:r>
      <w:r>
        <w:rPr>
          <w:rFonts w:ascii="Times New Roman" w:cs="Times New Roman" w:eastAsia="Times New Roman" w:hAnsi="Times New Roman"/>
          <w:sz w:val="20"/>
          <w:szCs w:val="20"/>
          <w:color w:val="242424"/>
        </w:rPr>
        <w:t xml:space="preserve"> Employee is employed by the Company on an at-will basis meaning that either party may terminate the relationship at any time, with or without cause, and without providing a reason for such termination.</w:t>
      </w:r>
    </w:p>
    <w:p>
      <w:pPr>
        <w:spacing w:after="0" w:line="188" w:lineRule="exact"/>
        <w:rPr>
          <w:sz w:val="20"/>
          <w:szCs w:val="20"/>
          <w:color w:val="auto"/>
        </w:rPr>
      </w:pPr>
    </w:p>
    <w:p>
      <w:pPr>
        <w:ind w:left="1560" w:hanging="809"/>
        <w:spacing w:after="0"/>
        <w:tabs>
          <w:tab w:leader="none" w:pos="1560" w:val="left"/>
        </w:tabs>
        <w:numPr>
          <w:ilvl w:val="0"/>
          <w:numId w:val="72"/>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3A3A3A"/>
        </w:rPr>
        <w:t>Termination of Employment.</w:t>
      </w:r>
    </w:p>
    <w:p>
      <w:pPr>
        <w:spacing w:after="0" w:line="268" w:lineRule="exact"/>
        <w:rPr>
          <w:rFonts w:ascii="Times New Roman" w:cs="Times New Roman" w:eastAsia="Times New Roman" w:hAnsi="Times New Roman"/>
          <w:sz w:val="20"/>
          <w:szCs w:val="20"/>
          <w:color w:val="242424"/>
        </w:rPr>
      </w:pPr>
    </w:p>
    <w:p>
      <w:pPr>
        <w:jc w:val="both"/>
        <w:ind w:left="760" w:right="140" w:firstLine="741"/>
        <w:spacing w:after="0" w:line="243" w:lineRule="auto"/>
        <w:tabs>
          <w:tab w:leader="none" w:pos="1907" w:val="left"/>
        </w:tabs>
        <w:numPr>
          <w:ilvl w:val="2"/>
          <w:numId w:val="72"/>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Termination for Cause.</w:t>
      </w:r>
      <w:r>
        <w:rPr>
          <w:rFonts w:ascii="Times New Roman" w:cs="Times New Roman" w:eastAsia="Times New Roman" w:hAnsi="Times New Roman"/>
          <w:sz w:val="20"/>
          <w:szCs w:val="20"/>
          <w:color w:val="242424"/>
        </w:rPr>
        <w:t xml:space="preserve"> The Company may terminate the employment of Employee at any time for Cause (such termination being herein called a "Termination for Cause"). For purposes of this Agreement, the term "Cause" shall mean: (i) Employee's willful or negligent failure, disregard or refusal to perform his or her duties of employment; (ii) any act by Employee that in the opinion of the Chief Executive Officer of the Company, has the effect of injuring the business or reputation of the Company or any of its affiliates, including but not limited to, any officer, director, executive or shareholder of the Company or any ofits affiliates;</w:t>
      </w:r>
    </w:p>
    <w:p>
      <w:pPr>
        <w:jc w:val="both"/>
        <w:ind w:left="760" w:right="120" w:hanging="3"/>
        <w:spacing w:after="0" w:line="239" w:lineRule="auto"/>
        <w:tabs>
          <w:tab w:leader="none" w:pos="1131" w:val="left"/>
        </w:tabs>
        <w:numPr>
          <w:ilvl w:val="1"/>
          <w:numId w:val="72"/>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color w:val="242424"/>
        </w:rPr>
        <w:t>Employee's misconduct in respect of his or her duties or obligations, including, without limitation, insubordination with respect to lawful directions received by Employee from the Chief Executive Officer of the Company (or such other executive officer to whom Employee may report); (iv) Employee's indictment of any felony or a misdemeanor involving moral turpitude (including entry of a nolo contendere plea); (v) the determination by the Company after a reasonable and good faith investigation by the Company following a written allegation by another employee of the Company, that Employee engaged in some form of harassment prohibited by law (including, without limitation, harassment that constitutes age, sex or race discrimination); (vi) any misappropriation or embezzlement of the property of the Company or its affiliates (whether or not constituting a misdemeanor or felony); (vii) Employee's breach of any of the provisions of the Company's Invention, Non-Disclosure and Non-Competition Agreement, as determined in the sole and absolute discretion of the Chief Executive Officer of the Company; or (viii) Employee's breach of any provision of this Agreement, as determined in the sole and absolute discretion of the Chief Executive Officer of the Company.</w:t>
      </w:r>
    </w:p>
    <w:p>
      <w:pPr>
        <w:spacing w:after="0" w:line="223" w:lineRule="exact"/>
        <w:rPr>
          <w:rFonts w:ascii="Times New Roman" w:cs="Times New Roman" w:eastAsia="Times New Roman" w:hAnsi="Times New Roman"/>
          <w:sz w:val="20"/>
          <w:szCs w:val="20"/>
          <w:color w:val="242424"/>
        </w:rPr>
      </w:pPr>
    </w:p>
    <w:p>
      <w:pPr>
        <w:ind w:right="380" w:firstLine="1497"/>
        <w:spacing w:after="0" w:line="268" w:lineRule="auto"/>
        <w:tabs>
          <w:tab w:leader="none" w:pos="1879" w:val="left"/>
        </w:tabs>
        <w:numPr>
          <w:ilvl w:val="2"/>
          <w:numId w:val="73"/>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Termination Without Cause</w:t>
      </w:r>
      <w:r>
        <w:rPr>
          <w:rFonts w:ascii="Times New Roman" w:cs="Times New Roman" w:eastAsia="Times New Roman" w:hAnsi="Times New Roman"/>
          <w:sz w:val="20"/>
          <w:szCs w:val="20"/>
          <w:color w:val="242424"/>
        </w:rPr>
        <w:t>. The Company may terminate Employee's employment for any legal reason at any time, without notice and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763270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341" w:right="339" w:bottom="1440" w:gutter="0" w:footer="0" w:header="0"/>
        </w:sectPr>
      </w:pPr>
    </w:p>
    <w:bookmarkStart w:id="95" w:name="page96"/>
    <w:bookmarkEnd w:id="95"/>
    <w:p>
      <w:pPr>
        <w:ind w:left="1500" w:hanging="744"/>
        <w:spacing w:after="0"/>
        <w:tabs>
          <w:tab w:leader="none" w:pos="1500" w:val="left"/>
        </w:tabs>
        <w:numPr>
          <w:ilvl w:val="0"/>
          <w:numId w:val="74"/>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Effect of Termination.</w:t>
      </w:r>
    </w:p>
    <w:p>
      <w:pPr>
        <w:spacing w:after="0" w:line="241" w:lineRule="exact"/>
        <w:rPr>
          <w:rFonts w:ascii="Times New Roman" w:cs="Times New Roman" w:eastAsia="Times New Roman" w:hAnsi="Times New Roman"/>
          <w:sz w:val="20"/>
          <w:szCs w:val="20"/>
          <w:color w:val="242424"/>
        </w:rPr>
      </w:pPr>
    </w:p>
    <w:p>
      <w:pPr>
        <w:jc w:val="both"/>
        <w:ind w:left="740" w:right="20" w:firstLine="764"/>
        <w:spacing w:after="0" w:line="257" w:lineRule="auto"/>
        <w:rPr>
          <w:rFonts w:ascii="Times New Roman" w:cs="Times New Roman" w:eastAsia="Times New Roman" w:hAnsi="Times New Roman"/>
          <w:sz w:val="20"/>
          <w:szCs w:val="20"/>
          <w:color w:val="242424"/>
        </w:rPr>
      </w:pPr>
      <w:r>
        <w:rPr>
          <w:rFonts w:ascii="Times New Roman" w:cs="Times New Roman" w:eastAsia="Times New Roman" w:hAnsi="Times New Roman"/>
          <w:sz w:val="19"/>
          <w:szCs w:val="19"/>
          <w:color w:val="242424"/>
        </w:rPr>
        <w:t xml:space="preserve">a. </w:t>
      </w:r>
      <w:r>
        <w:rPr>
          <w:rFonts w:ascii="Times New Roman" w:cs="Times New Roman" w:eastAsia="Times New Roman" w:hAnsi="Times New Roman"/>
          <w:sz w:val="19"/>
          <w:szCs w:val="19"/>
          <w:u w:val="single" w:color="auto"/>
          <w:color w:val="242424"/>
        </w:rPr>
        <w:t>Termination by the Company Without</w:t>
      </w:r>
      <w:r>
        <w:rPr>
          <w:rFonts w:ascii="Times New Roman" w:cs="Times New Roman" w:eastAsia="Times New Roman" w:hAnsi="Times New Roman"/>
          <w:sz w:val="19"/>
          <w:szCs w:val="19"/>
          <w:color w:val="242424"/>
        </w:rPr>
        <w:t xml:space="preserve"> </w:t>
      </w:r>
      <w:r>
        <w:rPr>
          <w:rFonts w:ascii="Times New Roman" w:cs="Times New Roman" w:eastAsia="Times New Roman" w:hAnsi="Times New Roman"/>
          <w:sz w:val="19"/>
          <w:szCs w:val="19"/>
          <w:u w:val="single" w:color="auto"/>
          <w:color w:val="3D3D3D"/>
        </w:rPr>
        <w:t>Cause</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242424"/>
        </w:rPr>
        <w:t xml:space="preserve"> If Employee is terminated by the Company other than for Cause, and other than by reason of retirement, death or disability, (i) the Company shall pay to Employee his or her accrued base salary through the date of Employee's termination, and (ii) a severance amount, payable in a single lump sum, equal to three (3) months of Employee's annualized base salary at the time of termination (excluding any benefits or bonuses) (the "Severance"). The Severance shall only be payable if Employee signs a general release with the Company, which release must be concluded and executed on or before the date that is two and one-half months after the end of the calendar year in which Employee's "separation from service" (as defined under Section 409A of the Internal Revenue Code of 1986, as amended) occurs, whereby Employee shall release the Company from any and all potential liabilities arising out of Employee's employment with, or termination from employment with, the Company, and which release shall be in form satisfactory to the Company (the "General Release").</w:t>
      </w:r>
    </w:p>
    <w:p>
      <w:pPr>
        <w:spacing w:after="0" w:line="213" w:lineRule="exact"/>
        <w:rPr>
          <w:rFonts w:ascii="Times New Roman" w:cs="Times New Roman" w:eastAsia="Times New Roman" w:hAnsi="Times New Roman"/>
          <w:sz w:val="20"/>
          <w:szCs w:val="20"/>
          <w:color w:val="242424"/>
        </w:rPr>
      </w:pPr>
    </w:p>
    <w:p>
      <w:pPr>
        <w:jc w:val="both"/>
        <w:ind w:left="760" w:right="20" w:firstLine="760"/>
        <w:spacing w:after="0" w:line="249" w:lineRule="auto"/>
        <w:tabs>
          <w:tab w:leader="none" w:pos="1923" w:val="left"/>
        </w:tabs>
        <w:numPr>
          <w:ilvl w:val="2"/>
          <w:numId w:val="74"/>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Termination by</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u w:val="single" w:color="auto"/>
          <w:color w:val="3D3D3D"/>
        </w:rPr>
        <w:t>the</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u w:val="single" w:color="auto"/>
          <w:color w:val="242424"/>
        </w:rPr>
        <w:t>Company for Cause</w:t>
      </w:r>
      <w:r>
        <w:rPr>
          <w:rFonts w:ascii="Times New Roman" w:cs="Times New Roman" w:eastAsia="Times New Roman" w:hAnsi="Times New Roman"/>
          <w:sz w:val="20"/>
          <w:szCs w:val="20"/>
          <w:color w:val="242424"/>
        </w:rPr>
        <w:t>. Upon the termination of Employee's employment pursuant to a Termination for Cause, Employee will be entitled to receive only Employee's accrued base salary through the date of Employee's termination. If Employee is terminated for Cause, he or she will not be entitled to any Severance under Section 3(a) of this Agreement.</w:t>
      </w:r>
    </w:p>
    <w:p>
      <w:pPr>
        <w:spacing w:after="0" w:line="205" w:lineRule="exact"/>
        <w:rPr>
          <w:rFonts w:ascii="Times New Roman" w:cs="Times New Roman" w:eastAsia="Times New Roman" w:hAnsi="Times New Roman"/>
          <w:sz w:val="20"/>
          <w:szCs w:val="20"/>
          <w:color w:val="242424"/>
        </w:rPr>
      </w:pPr>
    </w:p>
    <w:p>
      <w:pPr>
        <w:jc w:val="both"/>
        <w:ind w:left="760" w:firstLine="760"/>
        <w:spacing w:after="0" w:line="245" w:lineRule="auto"/>
        <w:tabs>
          <w:tab w:leader="none" w:pos="1923" w:val="left"/>
        </w:tabs>
        <w:numPr>
          <w:ilvl w:val="2"/>
          <w:numId w:val="74"/>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Voluntary Termination.</w:t>
      </w:r>
      <w:r>
        <w:rPr>
          <w:rFonts w:ascii="Times New Roman" w:cs="Times New Roman" w:eastAsia="Times New Roman" w:hAnsi="Times New Roman"/>
          <w:sz w:val="20"/>
          <w:szCs w:val="20"/>
          <w:color w:val="242424"/>
        </w:rPr>
        <w:t xml:space="preserve"> If the Employee voluntarily terminates his or her employment with the Company, for any reason, Employee will be entitled to receive his or her base salary through the date of Employee's termination. If Employee terminates his or her employment with the Company, for any reason, Employee will not be entitled to any Severance under Section 3(a) of this Agreement. If the Company receives notice from the Employee of his or her intent to terminate employment with the Company and the Company elects to immediately end the employment relationship, Employee will not be entitled to any Severance under Section 3(a) of this Agreement.</w:t>
      </w:r>
    </w:p>
    <w:p>
      <w:pPr>
        <w:spacing w:after="0" w:line="209" w:lineRule="exact"/>
        <w:rPr>
          <w:rFonts w:ascii="Times New Roman" w:cs="Times New Roman" w:eastAsia="Times New Roman" w:hAnsi="Times New Roman"/>
          <w:sz w:val="20"/>
          <w:szCs w:val="20"/>
          <w:color w:val="242424"/>
        </w:rPr>
      </w:pPr>
    </w:p>
    <w:p>
      <w:pPr>
        <w:jc w:val="both"/>
        <w:ind w:left="760" w:right="20" w:firstLine="760"/>
        <w:spacing w:after="0" w:line="249" w:lineRule="auto"/>
        <w:tabs>
          <w:tab w:leader="none" w:pos="1923" w:val="left"/>
        </w:tabs>
        <w:numPr>
          <w:ilvl w:val="2"/>
          <w:numId w:val="74"/>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Death or Disability of</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u w:val="single" w:color="auto"/>
          <w:color w:val="3D3D3D"/>
        </w:rPr>
        <w:t>Executive.</w:t>
      </w:r>
      <w:r>
        <w:rPr>
          <w:rFonts w:ascii="Times New Roman" w:cs="Times New Roman" w:eastAsia="Times New Roman" w:hAnsi="Times New Roman"/>
          <w:sz w:val="20"/>
          <w:szCs w:val="20"/>
          <w:color w:val="242424"/>
        </w:rPr>
        <w:t xml:space="preserve"> If Employee dies or becomes disabled during the term of this Agreement, Employee will be entitled to receive Employee's accrued base salary through the date of Employee's termination. If Employee's employment is terminated due to death or disability, Employee will not be entitled to any Severance under Section 3(a) of this Agreement.</w:t>
      </w:r>
    </w:p>
    <w:p>
      <w:pPr>
        <w:spacing w:after="0" w:line="218" w:lineRule="exact"/>
        <w:rPr>
          <w:rFonts w:ascii="Times New Roman" w:cs="Times New Roman" w:eastAsia="Times New Roman" w:hAnsi="Times New Roman"/>
          <w:sz w:val="20"/>
          <w:szCs w:val="20"/>
          <w:color w:val="242424"/>
        </w:rPr>
      </w:pPr>
    </w:p>
    <w:p>
      <w:pPr>
        <w:ind w:left="2280" w:hanging="745"/>
        <w:spacing w:after="0"/>
        <w:tabs>
          <w:tab w:leader="none" w:pos="2280" w:val="left"/>
        </w:tabs>
        <w:numPr>
          <w:ilvl w:val="3"/>
          <w:numId w:val="74"/>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u w:val="single" w:color="auto"/>
          <w:color w:val="242424"/>
        </w:rPr>
        <w:t>Effect of Termination on Benefits.</w:t>
      </w:r>
    </w:p>
    <w:p>
      <w:pPr>
        <w:spacing w:after="0" w:line="269" w:lineRule="exact"/>
        <w:rPr>
          <w:sz w:val="20"/>
          <w:szCs w:val="20"/>
          <w:color w:val="auto"/>
        </w:rPr>
      </w:pPr>
    </w:p>
    <w:p>
      <w:pPr>
        <w:jc w:val="both"/>
        <w:ind w:left="780" w:firstLine="755"/>
        <w:spacing w:after="0" w:line="246" w:lineRule="auto"/>
        <w:tabs>
          <w:tab w:leader="none" w:pos="1928" w:val="left"/>
        </w:tabs>
        <w:numPr>
          <w:ilvl w:val="0"/>
          <w:numId w:val="75"/>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color w:val="242424"/>
        </w:rPr>
        <w:t xml:space="preserve">If Employee's employment with the Company is terminated, Employee may elect to continue, and the Company shall continue to provide, Employee's existing medical and dental coverage under the Company's medical and dental insurance plans, if any, for a period of up to eighteen (18) months from the date of termination, with the entire cost of such medical and dental insurance coverage from and after the date of termination to be borne entirely by Employee; </w:t>
      </w:r>
      <w:r>
        <w:rPr>
          <w:rFonts w:ascii="Times New Roman" w:cs="Times New Roman" w:eastAsia="Times New Roman" w:hAnsi="Times New Roman"/>
          <w:sz w:val="20"/>
          <w:szCs w:val="20"/>
          <w:i w:val="1"/>
          <w:iCs w:val="1"/>
          <w:u w:val="single" w:color="auto"/>
          <w:color w:val="242424"/>
        </w:rPr>
        <w:t>provided. however</w:t>
      </w:r>
      <w:r>
        <w:rPr>
          <w:rFonts w:ascii="Times New Roman" w:cs="Times New Roman" w:eastAsia="Times New Roman" w:hAnsi="Times New Roman"/>
          <w:sz w:val="20"/>
          <w:szCs w:val="20"/>
          <w:i w:val="1"/>
          <w:iCs w:val="1"/>
          <w:color w:val="242424"/>
        </w:rPr>
        <w:t>,</w:t>
      </w:r>
      <w:r>
        <w:rPr>
          <w:rFonts w:ascii="Times New Roman" w:cs="Times New Roman" w:eastAsia="Times New Roman" w:hAnsi="Times New Roman"/>
          <w:sz w:val="20"/>
          <w:szCs w:val="20"/>
          <w:color w:val="242424"/>
        </w:rPr>
        <w:t xml:space="preserve"> that if Employee's employment is terminated by the Company (or its successor) without Cause and the Employee has provided the General Release as set forth above, the Company shall continue to pay its contributions for such medical and dental insurance coverage for the first three (3) months following the date of termination.</w:t>
      </w:r>
    </w:p>
    <w:p>
      <w:pPr>
        <w:spacing w:after="0" w:line="210" w:lineRule="exact"/>
        <w:rPr>
          <w:rFonts w:ascii="Times New Roman" w:cs="Times New Roman" w:eastAsia="Times New Roman" w:hAnsi="Times New Roman"/>
          <w:sz w:val="20"/>
          <w:szCs w:val="20"/>
          <w:color w:val="242424"/>
        </w:rPr>
      </w:pPr>
    </w:p>
    <w:p>
      <w:pPr>
        <w:jc w:val="both"/>
        <w:ind w:left="760" w:right="40" w:firstLine="760"/>
        <w:spacing w:after="0" w:line="253" w:lineRule="auto"/>
        <w:tabs>
          <w:tab w:leader="none" w:pos="1922" w:val="left"/>
        </w:tabs>
        <w:numPr>
          <w:ilvl w:val="0"/>
          <w:numId w:val="75"/>
        </w:numPr>
        <w:rPr>
          <w:rFonts w:ascii="Times New Roman" w:cs="Times New Roman" w:eastAsia="Times New Roman" w:hAnsi="Times New Roman"/>
          <w:sz w:val="20"/>
          <w:szCs w:val="20"/>
          <w:color w:val="242424"/>
        </w:rPr>
      </w:pPr>
      <w:r>
        <w:rPr>
          <w:rFonts w:ascii="Times New Roman" w:cs="Times New Roman" w:eastAsia="Times New Roman" w:hAnsi="Times New Roman"/>
          <w:sz w:val="20"/>
          <w:szCs w:val="20"/>
          <w:color w:val="242424"/>
        </w:rPr>
        <w:t>Except as otherwise specifically provided for in subsection (a) of this Section 4, or in Section 3 above, upon termination of Employee's employment, Employee shall have no further entitlement to any other compensation or benefits from the Company.</w:t>
      </w:r>
    </w:p>
    <w:p>
      <w:pPr>
        <w:spacing w:after="0" w:line="203" w:lineRule="exact"/>
        <w:rPr>
          <w:sz w:val="20"/>
          <w:szCs w:val="20"/>
          <w:color w:val="auto"/>
        </w:rPr>
      </w:pPr>
    </w:p>
    <w:p>
      <w:pPr>
        <w:jc w:val="both"/>
        <w:ind w:right="40" w:firstLine="749"/>
        <w:spacing w:after="0" w:line="253" w:lineRule="auto"/>
        <w:rPr>
          <w:sz w:val="20"/>
          <w:szCs w:val="20"/>
          <w:color w:val="auto"/>
        </w:rPr>
      </w:pPr>
      <w:r>
        <w:rPr>
          <w:rFonts w:ascii="Times New Roman" w:cs="Times New Roman" w:eastAsia="Times New Roman" w:hAnsi="Times New Roman"/>
          <w:sz w:val="20"/>
          <w:szCs w:val="20"/>
          <w:color w:val="242424"/>
        </w:rPr>
        <w:t>5.</w:t>
      </w:r>
      <w:r>
        <w:rPr>
          <w:rFonts w:ascii="Times New Roman" w:cs="Times New Roman" w:eastAsia="Times New Roman" w:hAnsi="Times New Roman"/>
          <w:sz w:val="20"/>
          <w:szCs w:val="20"/>
          <w:u w:val="single" w:color="auto"/>
          <w:color w:val="242424"/>
        </w:rPr>
        <w:t>Prior Agreements.</w:t>
      </w:r>
      <w:r>
        <w:rPr>
          <w:rFonts w:ascii="Times New Roman" w:cs="Times New Roman" w:eastAsia="Times New Roman" w:hAnsi="Times New Roman"/>
          <w:sz w:val="20"/>
          <w:szCs w:val="20"/>
          <w:color w:val="242424"/>
        </w:rPr>
        <w:t xml:space="preserve"> This Agreement and the Offer Letter contain the entire understanding of the parties with regard to all matters contained herein. There are no other agreements, conditions or representations, oral or written, expressed or implied relating to such matters.</w:t>
      </w:r>
    </w:p>
    <w:p>
      <w:pPr>
        <w:spacing w:after="0" w:line="20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242424"/>
        </w:rPr>
        <w:t>6.</w:t>
      </w:r>
      <w:r>
        <w:rPr>
          <w:rFonts w:ascii="Times New Roman" w:cs="Times New Roman" w:eastAsia="Times New Roman" w:hAnsi="Times New Roman"/>
          <w:sz w:val="20"/>
          <w:szCs w:val="20"/>
          <w:u w:val="single" w:color="auto"/>
          <w:color w:val="242424"/>
        </w:rPr>
        <w:t>Assignment.</w:t>
      </w:r>
      <w:r>
        <w:rPr>
          <w:rFonts w:ascii="Times New Roman" w:cs="Times New Roman" w:eastAsia="Times New Roman" w:hAnsi="Times New Roman"/>
          <w:sz w:val="20"/>
          <w:szCs w:val="20"/>
          <w:color w:val="242424"/>
        </w:rPr>
        <w:t xml:space="preserve"> This Agreement shall be binding upon, and shall inure to the benefit of, the parties and their respective successors, assigns, heirs and personal representatives and any entity with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35560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481" w:right="479" w:bottom="1440" w:gutter="0" w:footer="0" w:header="0"/>
        </w:sectPr>
      </w:pPr>
    </w:p>
    <w:bookmarkStart w:id="96" w:name="page97"/>
    <w:bookmarkEnd w:id="96"/>
    <w:p>
      <w:pPr>
        <w:jc w:val="both"/>
        <w:ind w:left="120"/>
        <w:spacing w:after="0" w:line="267" w:lineRule="auto"/>
        <w:rPr>
          <w:sz w:val="20"/>
          <w:szCs w:val="20"/>
          <w:color w:val="auto"/>
        </w:rPr>
      </w:pPr>
      <w:r>
        <w:rPr>
          <w:rFonts w:ascii="Times New Roman" w:cs="Times New Roman" w:eastAsia="Times New Roman" w:hAnsi="Times New Roman"/>
          <w:sz w:val="20"/>
          <w:szCs w:val="20"/>
          <w:color w:val="242424"/>
        </w:rPr>
        <w:t>the Company may merge or consolidate or to which the Company may sell substantially all of its assets, provided that this Agreement may not be assigned by Employee.</w:t>
      </w:r>
    </w:p>
    <w:p>
      <w:pPr>
        <w:spacing w:after="0" w:line="202" w:lineRule="exact"/>
        <w:rPr>
          <w:sz w:val="20"/>
          <w:szCs w:val="20"/>
          <w:color w:val="auto"/>
        </w:rPr>
      </w:pPr>
    </w:p>
    <w:p>
      <w:pPr>
        <w:jc w:val="both"/>
        <w:ind w:left="120" w:firstLine="749"/>
        <w:spacing w:after="0" w:line="268" w:lineRule="auto"/>
        <w:rPr>
          <w:sz w:val="20"/>
          <w:szCs w:val="20"/>
          <w:color w:val="auto"/>
        </w:rPr>
      </w:pPr>
      <w:r>
        <w:rPr>
          <w:rFonts w:ascii="Times New Roman" w:cs="Times New Roman" w:eastAsia="Times New Roman" w:hAnsi="Times New Roman"/>
          <w:sz w:val="20"/>
          <w:szCs w:val="20"/>
          <w:color w:val="242424"/>
        </w:rPr>
        <w:t>7.</w:t>
      </w:r>
      <w:r>
        <w:rPr>
          <w:rFonts w:ascii="Times New Roman" w:cs="Times New Roman" w:eastAsia="Times New Roman" w:hAnsi="Times New Roman"/>
          <w:sz w:val="20"/>
          <w:szCs w:val="20"/>
          <w:u w:val="single" w:color="auto"/>
          <w:color w:val="242424"/>
        </w:rPr>
        <w:t>Governing Law.</w:t>
      </w:r>
      <w:r>
        <w:rPr>
          <w:rFonts w:ascii="Times New Roman" w:cs="Times New Roman" w:eastAsia="Times New Roman" w:hAnsi="Times New Roman"/>
          <w:sz w:val="20"/>
          <w:szCs w:val="20"/>
          <w:color w:val="242424"/>
        </w:rPr>
        <w:t xml:space="preserve"> This Agreement shall be construed in accordance with the laws of the Commonwealth of Massachusetts, applying to contracts fully executed and performed within the Commonwealth of Massachusetts.</w:t>
      </w:r>
    </w:p>
    <w:p>
      <w:pPr>
        <w:spacing w:after="0" w:line="188" w:lineRule="exact"/>
        <w:rPr>
          <w:sz w:val="20"/>
          <w:szCs w:val="20"/>
          <w:color w:val="auto"/>
        </w:rPr>
      </w:pPr>
    </w:p>
    <w:p>
      <w:pPr>
        <w:jc w:val="both"/>
        <w:ind w:left="120" w:firstLine="749"/>
        <w:spacing w:after="0" w:line="249" w:lineRule="auto"/>
        <w:rPr>
          <w:sz w:val="20"/>
          <w:szCs w:val="20"/>
          <w:color w:val="auto"/>
        </w:rPr>
      </w:pPr>
      <w:r>
        <w:rPr>
          <w:rFonts w:ascii="Times New Roman" w:cs="Times New Roman" w:eastAsia="Times New Roman" w:hAnsi="Times New Roman"/>
          <w:sz w:val="20"/>
          <w:szCs w:val="20"/>
          <w:color w:val="242424"/>
        </w:rPr>
        <w:t>8.</w:t>
      </w:r>
      <w:r>
        <w:rPr>
          <w:rFonts w:ascii="Times New Roman" w:cs="Times New Roman" w:eastAsia="Times New Roman" w:hAnsi="Times New Roman"/>
          <w:sz w:val="20"/>
          <w:szCs w:val="20"/>
          <w:u w:val="single" w:color="auto"/>
          <w:color w:val="242424"/>
        </w:rPr>
        <w:t>Section Headings: Gender; Number.</w:t>
      </w:r>
      <w:r>
        <w:rPr>
          <w:rFonts w:ascii="Times New Roman" w:cs="Times New Roman" w:eastAsia="Times New Roman" w:hAnsi="Times New Roman"/>
          <w:sz w:val="20"/>
          <w:szCs w:val="20"/>
          <w:color w:val="242424"/>
        </w:rPr>
        <w:t xml:space="preserve"> The section headings in this Agreement are for convenience only; they form no part of this Agreement and will not affect its interpretation. Words used herein, regardless of the number and gender specifically used, will be deemed and construed to include any other number, singular or plural, and any other gender, masculine, feminine or neuter, as the context requires.</w:t>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242424"/>
        </w:rPr>
        <w:t>The Parties have executed this Agreement effective as of the Effective Date.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Drew Deniger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Drew Deniger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DocuSign Envelope ID: 637BFF13-DD33-4BFF-8800-2B3B64E90BD5</w:t>
      </w:r>
    </w:p>
    <w:p>
      <w:pPr>
        <w:jc w:val="right"/>
        <w:spacing w:after="0" w:line="236" w:lineRule="auto"/>
        <w:rPr>
          <w:sz w:val="20"/>
          <w:szCs w:val="20"/>
          <w:color w:val="auto"/>
        </w:rPr>
      </w:pPr>
      <w:r>
        <w:rPr>
          <w:rFonts w:ascii="Times New Roman" w:cs="Times New Roman" w:eastAsia="Times New Roman" w:hAnsi="Times New Roman"/>
          <w:sz w:val="22"/>
          <w:szCs w:val="22"/>
          <w:color w:val="auto"/>
        </w:rPr>
        <w:t>Exhibit 10.4</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2" w:lineRule="exact"/>
        <w:rPr>
          <w:sz w:val="20"/>
          <w:szCs w:val="20"/>
          <w:color w:val="auto"/>
        </w:rPr>
      </w:pPr>
    </w:p>
    <w:p>
      <w:pPr>
        <w:jc w:val="both"/>
        <w:ind w:left="1020" w:right="120" w:firstLine="749"/>
        <w:spacing w:after="0" w:line="239" w:lineRule="auto"/>
        <w:rPr>
          <w:sz w:val="20"/>
          <w:szCs w:val="20"/>
          <w:color w:val="auto"/>
        </w:rPr>
      </w:pPr>
      <w:r>
        <w:rPr>
          <w:rFonts w:ascii="Times New Roman" w:cs="Times New Roman" w:eastAsia="Times New Roman" w:hAnsi="Times New Roman"/>
          <w:sz w:val="22"/>
          <w:szCs w:val="22"/>
          <w:color w:val="auto"/>
        </w:rPr>
        <w:t>This Employment Agreement (this “Agreement”) is made and entered into as of November 29, 2021 (the “Effective Date”), notwithstanding that this Agreement may be executed on a different date, by and between Ziopharm Oncology, Inc. (the “Company”), and Melinda K. Lackey (“Executive”). Each of the Company and Executive are referred to herein individually as a “Party” and collectively as the “Parties.”</w:t>
      </w:r>
    </w:p>
    <w:p>
      <w:pPr>
        <w:spacing w:after="0" w:line="20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3"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22"/>
          <w:szCs w:val="22"/>
          <w:color w:val="auto"/>
        </w:rPr>
        <w:t>A. The Company is in the business of developing the next generation of immuno- oncology medicines.</w:t>
      </w:r>
    </w:p>
    <w:p>
      <w:pPr>
        <w:spacing w:after="0" w:line="232" w:lineRule="exact"/>
        <w:rPr>
          <w:sz w:val="20"/>
          <w:szCs w:val="20"/>
          <w:color w:val="auto"/>
        </w:rPr>
      </w:pPr>
    </w:p>
    <w:p>
      <w:pPr>
        <w:jc w:val="both"/>
        <w:ind w:left="1020" w:right="120" w:firstLine="749"/>
        <w:spacing w:after="0" w:line="258" w:lineRule="auto"/>
        <w:rPr>
          <w:sz w:val="20"/>
          <w:szCs w:val="20"/>
          <w:color w:val="auto"/>
        </w:rPr>
      </w:pPr>
      <w:r>
        <w:rPr>
          <w:rFonts w:ascii="Times New Roman" w:cs="Times New Roman" w:eastAsia="Times New Roman" w:hAnsi="Times New Roman"/>
          <w:sz w:val="22"/>
          <w:szCs w:val="22"/>
          <w:color w:val="auto"/>
        </w:rPr>
        <w:t>B. The Company desires to employ Executive as Senior Vice President, Legal, and Executive desires to be employed by the Company in said capacity.</w:t>
      </w:r>
    </w:p>
    <w:p>
      <w:pPr>
        <w:spacing w:after="0" w:line="184" w:lineRule="exact"/>
        <w:rPr>
          <w:sz w:val="20"/>
          <w:szCs w:val="20"/>
          <w:color w:val="auto"/>
        </w:rPr>
      </w:pPr>
    </w:p>
    <w:p>
      <w:pPr>
        <w:jc w:val="both"/>
        <w:ind w:left="1020" w:right="120" w:firstLine="749"/>
        <w:spacing w:after="0" w:line="236" w:lineRule="auto"/>
        <w:rPr>
          <w:sz w:val="20"/>
          <w:szCs w:val="20"/>
          <w:color w:val="auto"/>
        </w:rPr>
      </w:pPr>
      <w:r>
        <w:rPr>
          <w:rFonts w:ascii="Times New Roman" w:cs="Times New Roman" w:eastAsia="Times New Roman" w:hAnsi="Times New Roman"/>
          <w:sz w:val="22"/>
          <w:szCs w:val="22"/>
          <w:color w:val="auto"/>
        </w:rPr>
        <w:t>C. Executive acknowledges that she will have significant involvement in the operation of the Company and consequently, that she will be using the Company’s confidential and proprietary information in her capacity as Executive and that such information provided to Executive pursuant to this Agreement, including information that Executive has not previously received, gives rise to the Company’s interest in restraining Executive and that the restrictive covenants are necessary to protect the Company’s confidential and proprietary information, goodwill, or other business interest of the Company.</w:t>
      </w:r>
    </w:p>
    <w:p>
      <w:pPr>
        <w:spacing w:after="0" w:line="2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D. The Parties desire to agree to the various matters described herein and to memorialize those agreements</w:t>
      </w:r>
    </w:p>
    <w:p>
      <w:pPr>
        <w:spacing w:after="0" w:line="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herein.</w:t>
      </w:r>
    </w:p>
    <w:p>
      <w:pPr>
        <w:spacing w:after="0" w:line="2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46" w:lineRule="exact"/>
        <w:rPr>
          <w:sz w:val="20"/>
          <w:szCs w:val="20"/>
          <w:color w:val="auto"/>
        </w:rPr>
      </w:pPr>
    </w:p>
    <w:p>
      <w:pPr>
        <w:ind w:left="2520" w:hanging="750"/>
        <w:spacing w:after="0"/>
        <w:tabs>
          <w:tab w:leader="none" w:pos="2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Effectiveness; Employment Period.</w:t>
      </w:r>
    </w:p>
    <w:p>
      <w:pPr>
        <w:spacing w:after="0" w:line="236" w:lineRule="exact"/>
        <w:rPr>
          <w:rFonts w:ascii="Times New Roman" w:cs="Times New Roman" w:eastAsia="Times New Roman" w:hAnsi="Times New Roman"/>
          <w:sz w:val="22"/>
          <w:szCs w:val="22"/>
          <w:b w:val="1"/>
          <w:bCs w:val="1"/>
          <w:color w:val="auto"/>
        </w:rPr>
      </w:pPr>
    </w:p>
    <w:p>
      <w:pPr>
        <w:ind w:left="1020" w:right="140" w:firstLine="1499"/>
        <w:spacing w:after="0" w:line="258" w:lineRule="auto"/>
        <w:tabs>
          <w:tab w:leader="none" w:pos="303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become effective and binding upon the Company and the Executive at 12:00 a.m. prevailing Central Standard Time, on the Effective Date.</w:t>
      </w:r>
    </w:p>
    <w:p>
      <w:pPr>
        <w:spacing w:after="0" w:line="197" w:lineRule="exact"/>
        <w:rPr>
          <w:rFonts w:ascii="Times New Roman" w:cs="Times New Roman" w:eastAsia="Times New Roman" w:hAnsi="Times New Roman"/>
          <w:sz w:val="22"/>
          <w:szCs w:val="22"/>
          <w:color w:val="auto"/>
        </w:rPr>
      </w:pPr>
    </w:p>
    <w:p>
      <w:pPr>
        <w:jc w:val="both"/>
        <w:ind w:left="1020" w:right="120" w:firstLine="1499"/>
        <w:spacing w:after="0" w:line="233" w:lineRule="auto"/>
        <w:tabs>
          <w:tab w:leader="none" w:pos="303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 Company hereby agrees to employ Executive, and Executive hereby agrees to be employed by Company, in accordance with the terms and provisions of this Agreement, for the period commencing as of the Effective Date and ending on the two year anniversary of the Effective Date (the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provided, however, that the Employment Period shall automatically be renewed and extended for an additional period of twelve (12) months commencing on the day following the two year anniversary of the Effective Date (“</w:t>
      </w:r>
      <w:r>
        <w:rPr>
          <w:rFonts w:ascii="Times New Roman" w:cs="Times New Roman" w:eastAsia="Times New Roman" w:hAnsi="Times New Roman"/>
          <w:sz w:val="22"/>
          <w:szCs w:val="22"/>
          <w:b w:val="1"/>
          <w:bCs w:val="1"/>
          <w:i w:val="1"/>
          <w:iCs w:val="1"/>
          <w:color w:val="auto"/>
        </w:rPr>
        <w:t>Extension Date</w:t>
      </w:r>
      <w:r>
        <w:rPr>
          <w:rFonts w:ascii="Times New Roman" w:cs="Times New Roman" w:eastAsia="Times New Roman" w:hAnsi="Times New Roman"/>
          <w:sz w:val="22"/>
          <w:szCs w:val="22"/>
          <w:color w:val="auto"/>
        </w:rPr>
        <w:t>”) and expiring on the one year anniversary of the Extension Date, and on each successive anniversary thereafter, unless at least ninety (90) days prior to the ensuing expiration date (but no more than twelve (12) months prior to such expiration date), Company or Executive shall have given ninety (90) days written notice to the other that it or she, as applicable, does not wish to extend this Agreement (a “</w:t>
      </w:r>
      <w:r>
        <w:rPr>
          <w:rFonts w:ascii="Times New Roman" w:cs="Times New Roman" w:eastAsia="Times New Roman" w:hAnsi="Times New Roman"/>
          <w:sz w:val="22"/>
          <w:szCs w:val="22"/>
          <w:b w:val="1"/>
          <w:bCs w:val="1"/>
          <w:i w:val="1"/>
          <w:iCs w:val="1"/>
          <w:color w:val="auto"/>
        </w:rPr>
        <w:t>Non-Renewal Notice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as utilized in this Agreement, shall refer to the Employment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 as so automatically extended and the Employment Period shall be deemed to end on the Executive’s last day of actual employment with Company.</w:t>
      </w:r>
    </w:p>
    <w:p>
      <w:pPr>
        <w:spacing w:after="0" w:line="221" w:lineRule="exact"/>
        <w:rPr>
          <w:rFonts w:ascii="Times New Roman" w:cs="Times New Roman" w:eastAsia="Times New Roman" w:hAnsi="Times New Roman"/>
          <w:sz w:val="22"/>
          <w:szCs w:val="22"/>
          <w:color w:val="auto"/>
        </w:rPr>
      </w:pPr>
    </w:p>
    <w:p>
      <w:pPr>
        <w:ind w:left="1020" w:right="120" w:firstLine="1499"/>
        <w:spacing w:after="0" w:line="258" w:lineRule="auto"/>
        <w:tabs>
          <w:tab w:leader="none" w:pos="303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Executive’s employment with Company, Executive shall serve as the Senior Vice President, Legal for the Company and in so doing, shall report to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36195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86"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jc w:val="both"/>
        <w:ind w:left="1020"/>
        <w:spacing w:after="0" w:line="233" w:lineRule="auto"/>
        <w:rPr>
          <w:sz w:val="20"/>
          <w:szCs w:val="20"/>
          <w:color w:val="auto"/>
        </w:rPr>
      </w:pPr>
      <w:r>
        <w:rPr>
          <w:rFonts w:ascii="Times New Roman" w:cs="Times New Roman" w:eastAsia="Times New Roman" w:hAnsi="Times New Roman"/>
          <w:sz w:val="22"/>
          <w:szCs w:val="22"/>
          <w:color w:val="auto"/>
        </w:rPr>
        <w:t>Executive Officer of the Company. Executive shall have supervision and control over, and responsibility for, such management and operational functions of the Company currently assigned to such positions, and shall have such other powers and duties as may from time to time be prescribed by the Board of Directors or a committee thereof (the “Board”), so long as such powers and duties are reasonable and customary for the Senior Vice President, Legal of an enterprise comparable to the Company.</w:t>
      </w:r>
    </w:p>
    <w:p>
      <w:pPr>
        <w:spacing w:after="0" w:line="218" w:lineRule="exact"/>
        <w:rPr>
          <w:sz w:val="20"/>
          <w:szCs w:val="20"/>
          <w:color w:val="auto"/>
        </w:rPr>
      </w:pPr>
    </w:p>
    <w:p>
      <w:pPr>
        <w:jc w:val="both"/>
        <w:ind w:left="1020" w:firstLine="1499"/>
        <w:spacing w:after="0" w:line="234" w:lineRule="auto"/>
        <w:tabs>
          <w:tab w:leader="none" w:pos="303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Executive’s employment with Company, and excluding any periods of vacation and sick leave to which Executive is entitled, Executive agrees to devote substantially all of her business time to the business and affairs of Company and, to the extent necessary to discharge the responsibilities assigned to Executive hereunder or by the Board hereafter, to use Executive’s reasonable best efforts to perform faithfully, effectively and efficiently such responsibilities. During the term of Executive’s employment with Company, it shall not be a violation of this Agreement for Executive to (i) serve on corporate, civic or charitable boards or committees, provided that service on any corporate board or committee shall be subject to the prior approval of the Board, which shall not be unreasonably withheld, (ii) deliver lectures or fulfill speaking engagements, and (iii) manage personal investments, so long as such activities do not materially interfere with the performance of Executive’s responsibilities as an employee of the Company in accordance with this Agreement.</w:t>
      </w:r>
    </w:p>
    <w:p>
      <w:pPr>
        <w:spacing w:after="0" w:line="203" w:lineRule="exact"/>
        <w:rPr>
          <w:rFonts w:ascii="Times New Roman" w:cs="Times New Roman" w:eastAsia="Times New Roman" w:hAnsi="Times New Roman"/>
          <w:sz w:val="22"/>
          <w:szCs w:val="22"/>
          <w:color w:val="auto"/>
        </w:rPr>
      </w:pPr>
    </w:p>
    <w:p>
      <w:pPr>
        <w:jc w:val="both"/>
        <w:ind w:left="1020" w:firstLine="1499"/>
        <w:spacing w:after="0" w:line="271" w:lineRule="auto"/>
        <w:tabs>
          <w:tab w:leader="none" w:pos="3035"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expressly acknowledge that any performance of Executive’s responsibilities hereunder shall necessitate, and the Company shall provide, access to or the disclosure of Confidential Information (as defined in Section 8(a) below) to Executive and that Executive’s responsibilities shall include the development of the Company’s goodwill through Executive’s contacts with the Company’s customers and suppliers.</w:t>
      </w:r>
    </w:p>
    <w:p>
      <w:pPr>
        <w:spacing w:after="0" w:line="184" w:lineRule="exact"/>
        <w:rPr>
          <w:rFonts w:ascii="Times New Roman" w:cs="Times New Roman" w:eastAsia="Times New Roman" w:hAnsi="Times New Roman"/>
          <w:sz w:val="20"/>
          <w:szCs w:val="20"/>
          <w:color w:val="auto"/>
        </w:rPr>
      </w:pPr>
    </w:p>
    <w:p>
      <w:pPr>
        <w:ind w:left="2520" w:hanging="750"/>
        <w:spacing w:after="0"/>
        <w:tabs>
          <w:tab w:leader="none" w:pos="25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p>
    <w:p>
      <w:pPr>
        <w:spacing w:after="0" w:line="243" w:lineRule="exact"/>
        <w:rPr>
          <w:rFonts w:ascii="Times New Roman" w:cs="Times New Roman" w:eastAsia="Times New Roman" w:hAnsi="Times New Roman"/>
          <w:sz w:val="22"/>
          <w:szCs w:val="22"/>
          <w:b w:val="1"/>
          <w:bCs w:val="1"/>
          <w:color w:val="auto"/>
        </w:rPr>
      </w:pPr>
    </w:p>
    <w:p>
      <w:pPr>
        <w:jc w:val="both"/>
        <w:ind w:left="1020" w:firstLine="1499"/>
        <w:spacing w:after="0" w:line="235" w:lineRule="auto"/>
        <w:tabs>
          <w:tab w:leader="none" w:pos="303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Company shall pay Executive an annual base salary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at the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$325,000 for the period commencing on the Effective Date. For the avoidance of doubt, the Base Salary for calendar year 2021 will be pro-rated based on Executive’s partial year of service. The Board shall review Executive’s Base Salary at least annually and may at its discretion elect to increase Executive’s Base Salary at any time if they deem an increase is warranted. Subject to Section 4(c)(ii) hereof, the Board may not decrease Executive’s annual Base Salary without her prior written approval. Base Salary shall be payable in accordance with the ordinary payroll practices of Company, but in no event shall the Base Salary be paid to Executive less frequently than monthly. The term “Base Salary” as used in this Agreement shall refer to the Base Salary as it may be so adjusted from time to time.</w:t>
      </w:r>
    </w:p>
    <w:p>
      <w:pPr>
        <w:spacing w:after="0" w:line="199" w:lineRule="exact"/>
        <w:rPr>
          <w:rFonts w:ascii="Times New Roman" w:cs="Times New Roman" w:eastAsia="Times New Roman" w:hAnsi="Times New Roman"/>
          <w:sz w:val="22"/>
          <w:szCs w:val="22"/>
          <w:color w:val="auto"/>
        </w:rPr>
      </w:pPr>
    </w:p>
    <w:p>
      <w:pPr>
        <w:jc w:val="both"/>
        <w:ind w:left="1020" w:firstLine="1499"/>
        <w:spacing w:after="0"/>
        <w:tabs>
          <w:tab w:leader="none" w:pos="303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Signing Bonus</w:t>
      </w:r>
      <w:r>
        <w:rPr>
          <w:rFonts w:ascii="Times New Roman" w:cs="Times New Roman" w:eastAsia="Times New Roman" w:hAnsi="Times New Roman"/>
          <w:sz w:val="22"/>
          <w:szCs w:val="22"/>
          <w:color w:val="auto"/>
        </w:rPr>
        <w:t>. Company shall pay Executive a lump sum cash signing bonus of $30,000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Signing Bonu</w:t>
      </w:r>
      <w:r>
        <w:rPr>
          <w:rFonts w:ascii="Times New Roman" w:cs="Times New Roman" w:eastAsia="Times New Roman" w:hAnsi="Times New Roman"/>
          <w:sz w:val="22"/>
          <w:szCs w:val="22"/>
          <w:color w:val="auto"/>
        </w:rPr>
        <w:t>s”); provided that, Executive shall repay the gross amount of the Signing Bonus if the Executive terminates the Executive’s employment terminates voluntarily or involuntarily for any reason on or before the one year anniversary of the Effective Date.</w:t>
      </w:r>
    </w:p>
    <w:p>
      <w:pPr>
        <w:spacing w:after="0" w:line="174" w:lineRule="exact"/>
        <w:rPr>
          <w:rFonts w:ascii="Times New Roman" w:cs="Times New Roman" w:eastAsia="Times New Roman" w:hAnsi="Times New Roman"/>
          <w:sz w:val="22"/>
          <w:szCs w:val="22"/>
          <w:color w:val="auto"/>
        </w:rPr>
      </w:pPr>
    </w:p>
    <w:p>
      <w:pPr>
        <w:jc w:val="both"/>
        <w:ind w:left="1020" w:firstLine="1499"/>
        <w:spacing w:after="0" w:line="236" w:lineRule="auto"/>
        <w:tabs>
          <w:tab w:leader="none" w:pos="303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Bonus</w:t>
      </w:r>
      <w:r>
        <w:rPr>
          <w:rFonts w:ascii="Times New Roman" w:cs="Times New Roman" w:eastAsia="Times New Roman" w:hAnsi="Times New Roman"/>
          <w:sz w:val="22"/>
          <w:szCs w:val="22"/>
          <w:color w:val="auto"/>
        </w:rPr>
        <w:t>. Executive shall be eligible, beginning in 2022, to receive an annual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bonus (the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in an amount to be determined by the Board or compensation committee of the Board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based on performance goals established by the Board or Committee, as applicable; on an annual basis. The amount of the Executive’s Annual Bonus for a target level of performance shall be equal to a percentage of the Executive’s Base Salary as determined by the Board or Committee as applicable (“</w:t>
      </w:r>
      <w:r>
        <w:rPr>
          <w:rFonts w:ascii="Times New Roman" w:cs="Times New Roman" w:eastAsia="Times New Roman" w:hAnsi="Times New Roman"/>
          <w:sz w:val="22"/>
          <w:szCs w:val="22"/>
          <w:b w:val="1"/>
          <w:bCs w:val="1"/>
          <w:i w:val="1"/>
          <w:iCs w:val="1"/>
          <w:color w:val="auto"/>
        </w:rPr>
        <w:t>Target Bonus</w:t>
      </w:r>
      <w:r>
        <w:rPr>
          <w:rFonts w:ascii="Times New Roman" w:cs="Times New Roman" w:eastAsia="Times New Roman" w:hAnsi="Times New Roman"/>
          <w:sz w:val="22"/>
          <w:szCs w:val="22"/>
          <w:color w:val="auto"/>
        </w:rPr>
        <w:t>”). Initially, the percentage of the Executive’s Base Salary for a Target Bonus will be forty percent (40%). For the avoidance of doubt, Executive is not eligible for an annual bonus for the 2021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186055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60" w:lineRule="exact"/>
        <w:rPr>
          <w:sz w:val="20"/>
          <w:szCs w:val="20"/>
          <w:color w:val="auto"/>
        </w:rPr>
      </w:pPr>
    </w:p>
    <w:p>
      <w:pPr>
        <w:jc w:val="both"/>
        <w:ind w:left="1020" w:firstLine="1499"/>
        <w:spacing w:after="0" w:line="234" w:lineRule="auto"/>
        <w:tabs>
          <w:tab w:leader="none" w:pos="303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Options</w:t>
      </w:r>
      <w:r>
        <w:rPr>
          <w:rFonts w:ascii="Times New Roman" w:cs="Times New Roman" w:eastAsia="Times New Roman" w:hAnsi="Times New Roman"/>
          <w:sz w:val="22"/>
          <w:szCs w:val="22"/>
          <w:color w:val="auto"/>
        </w:rPr>
        <w:t>. During 2021 Executive shall be granted an option to purchase 370,000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Company’s common stock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on the generally the same terms and conditions as stock options are granted under the Ziophram 2020 Equity Incentive Plan. The terms of such grant, when made, shall be set forth in a written award agreement. A quarter of the shares subject to the option shall vest one year after the vesting commencement date, specified in the award agreement evidencing the Option (“</w:t>
      </w:r>
      <w:r>
        <w:rPr>
          <w:rFonts w:ascii="Times New Roman" w:cs="Times New Roman" w:eastAsia="Times New Roman" w:hAnsi="Times New Roman"/>
          <w:sz w:val="22"/>
          <w:szCs w:val="22"/>
          <w:b w:val="1"/>
          <w:bCs w:val="1"/>
          <w:i w:val="1"/>
          <w:iCs w:val="1"/>
          <w:color w:val="auto"/>
        </w:rPr>
        <w:t>Vesting Commencement Date</w:t>
      </w:r>
      <w:r>
        <w:rPr>
          <w:rFonts w:ascii="Times New Roman" w:cs="Times New Roman" w:eastAsia="Times New Roman" w:hAnsi="Times New Roman"/>
          <w:sz w:val="22"/>
          <w:szCs w:val="22"/>
          <w:color w:val="auto"/>
        </w:rPr>
        <w:t>”); the balance of the shares vest in a series of twelve (12) successive equal quarterly installments measured from the first anniversary of the Vesting Commencement Date, subject to Executive’s continued employment with the Company through each vesting date. Executive will be eligible for additional annual long-term incentive compensation grants beginning in 2023, as determined by the Board or Committee.</w:t>
      </w:r>
    </w:p>
    <w:p>
      <w:pPr>
        <w:spacing w:after="0" w:line="225" w:lineRule="exact"/>
        <w:rPr>
          <w:sz w:val="20"/>
          <w:szCs w:val="20"/>
          <w:color w:val="auto"/>
        </w:rPr>
      </w:pPr>
    </w:p>
    <w:p>
      <w:pPr>
        <w:jc w:val="both"/>
        <w:ind w:left="1020" w:right="20" w:firstLine="749"/>
        <w:spacing w:after="0" w:line="280" w:lineRule="auto"/>
        <w:rPr>
          <w:sz w:val="20"/>
          <w:szCs w:val="20"/>
          <w:color w:val="auto"/>
        </w:rPr>
      </w:pPr>
      <w:r>
        <w:rPr>
          <w:rFonts w:ascii="Times New Roman" w:cs="Times New Roman" w:eastAsia="Times New Roman" w:hAnsi="Times New Roman"/>
          <w:sz w:val="20"/>
          <w:szCs w:val="20"/>
          <w:color w:val="auto"/>
        </w:rPr>
        <w:t>In addition, in the event of a Change in Control (as defined in the 2020 Equity Incentive Plan) and termination of Executive’s employment without Cause or termination of Executive’s employment for Good Reason (as defined in Section 4 of this Agreement), all remaining unvested options become immediately exercisable in full.</w:t>
      </w:r>
    </w:p>
    <w:p>
      <w:pPr>
        <w:spacing w:after="0" w:line="162" w:lineRule="exact"/>
        <w:rPr>
          <w:sz w:val="20"/>
          <w:szCs w:val="20"/>
          <w:color w:val="auto"/>
        </w:rPr>
      </w:pPr>
    </w:p>
    <w:p>
      <w:pPr>
        <w:ind w:left="2520" w:hanging="750"/>
        <w:spacing w:after="0"/>
        <w:tabs>
          <w:tab w:leader="none" w:pos="2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Benefits.</w:t>
      </w:r>
    </w:p>
    <w:p>
      <w:pPr>
        <w:spacing w:after="0" w:line="249" w:lineRule="exact"/>
        <w:rPr>
          <w:rFonts w:ascii="Times New Roman" w:cs="Times New Roman" w:eastAsia="Times New Roman" w:hAnsi="Times New Roman"/>
          <w:sz w:val="22"/>
          <w:szCs w:val="22"/>
          <w:b w:val="1"/>
          <w:bCs w:val="1"/>
          <w:color w:val="auto"/>
        </w:rPr>
      </w:pPr>
    </w:p>
    <w:p>
      <w:pPr>
        <w:jc w:val="both"/>
        <w:ind w:left="1020" w:firstLine="1499"/>
        <w:spacing w:after="0" w:line="236" w:lineRule="auto"/>
        <w:tabs>
          <w:tab w:leader="none" w:pos="303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Company shall provide Executive with coverage under all employee pension and welfare benefit programs, plans and practices, which Company makes available to its senior executives (including, without limitation, participation in health, dental, group life, disability, retirement and all other plans and fringe benefits to the extent generally provided to such senior executives), commensurate with her position in the Company, to the extent permitted under the employee benefit plan or program, and in accordance with the terms of the program and/or plan.</w:t>
      </w:r>
    </w:p>
    <w:p>
      <w:pPr>
        <w:spacing w:after="0" w:line="219" w:lineRule="exact"/>
        <w:rPr>
          <w:rFonts w:ascii="Times New Roman" w:cs="Times New Roman" w:eastAsia="Times New Roman" w:hAnsi="Times New Roman"/>
          <w:sz w:val="22"/>
          <w:szCs w:val="22"/>
          <w:color w:val="auto"/>
        </w:rPr>
      </w:pPr>
    </w:p>
    <w:p>
      <w:pPr>
        <w:ind w:left="3040" w:hanging="521"/>
        <w:spacing w:after="0"/>
        <w:tabs>
          <w:tab w:leader="none" w:pos="304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vacation time in accordance with the Company’s published</w:t>
      </w:r>
    </w:p>
    <w:p>
      <w:pPr>
        <w:spacing w:after="0" w:line="13" w:lineRule="exact"/>
        <w:rPr>
          <w:rFonts w:ascii="Times New Roman" w:cs="Times New Roman" w:eastAsia="Times New Roman" w:hAnsi="Times New Roman"/>
          <w:sz w:val="22"/>
          <w:szCs w:val="22"/>
          <w:color w:val="auto"/>
        </w:rPr>
      </w:pPr>
    </w:p>
    <w:p>
      <w:pPr>
        <w:ind w:left="10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vacation policy.</w:t>
      </w:r>
    </w:p>
    <w:p>
      <w:pPr>
        <w:spacing w:after="0" w:line="208" w:lineRule="exact"/>
        <w:rPr>
          <w:rFonts w:ascii="Times New Roman" w:cs="Times New Roman" w:eastAsia="Times New Roman" w:hAnsi="Times New Roman"/>
          <w:sz w:val="22"/>
          <w:szCs w:val="22"/>
          <w:color w:val="auto"/>
        </w:rPr>
      </w:pPr>
    </w:p>
    <w:p>
      <w:pPr>
        <w:jc w:val="both"/>
        <w:ind w:left="1020" w:firstLine="1499"/>
        <w:spacing w:after="0" w:line="233" w:lineRule="auto"/>
        <w:tabs>
          <w:tab w:leader="none" w:pos="303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authorized to incur reasonable expenses in carrying out her duties and responsibilities under this Agreement and promoting the business of the Company, including, without limitation, reasonable expenses for travel, lodgings, entertainment and similar items related to such duties and responsibilities. Company will promptly reimburse Executive for all such expenses upon presentation by Executive of appropriately itemized and approved (consistent with Company’s policy) accounts of such expenditures, in accordance with the Company’s expense reimbursement policy; provided, however, that in no event shall the expense reimbursement be made after the last day of the taxable year following the year in which the expense was incurred by Executive, although in the event that the reimbursement would constitute taxable income to Executive, such reimbursements will be paid no later than March 15th of the calendar year following the calendar year in which the expense was incurred. No reimbursement or expenses eligible for reimbursement in any taxable year shall affect the expenses eligible for reimbursement in any other taxable year, nor may the right to receive a reimbursement of expenses be subject to liquidation or exchanged for another benefit.</w:t>
      </w:r>
    </w:p>
    <w:p>
      <w:pPr>
        <w:spacing w:after="0" w:line="217" w:lineRule="exact"/>
        <w:rPr>
          <w:rFonts w:ascii="Times New Roman" w:cs="Times New Roman" w:eastAsia="Times New Roman" w:hAnsi="Times New Roman"/>
          <w:sz w:val="22"/>
          <w:szCs w:val="22"/>
          <w:color w:val="auto"/>
        </w:rPr>
      </w:pPr>
    </w:p>
    <w:p>
      <w:pPr>
        <w:ind w:left="2520" w:hanging="750"/>
        <w:spacing w:after="0"/>
        <w:tabs>
          <w:tab w:leader="none" w:pos="25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w:t>
      </w:r>
    </w:p>
    <w:p>
      <w:pPr>
        <w:spacing w:after="0" w:line="232" w:lineRule="exact"/>
        <w:rPr>
          <w:rFonts w:ascii="Times New Roman" w:cs="Times New Roman" w:eastAsia="Times New Roman" w:hAnsi="Times New Roman"/>
          <w:sz w:val="22"/>
          <w:szCs w:val="22"/>
          <w:b w:val="1"/>
          <w:bCs w:val="1"/>
          <w:color w:val="auto"/>
        </w:rPr>
      </w:pPr>
    </w:p>
    <w:p>
      <w:pPr>
        <w:jc w:val="both"/>
        <w:ind w:left="1020" w:firstLine="1499"/>
        <w:spacing w:after="0"/>
        <w:tabs>
          <w:tab w:leader="none" w:pos="303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without Cause or Resignation by Executive for Other than Good Reason</w:t>
      </w:r>
      <w:r>
        <w:rPr>
          <w:rFonts w:ascii="Times New Roman" w:cs="Times New Roman" w:eastAsia="Times New Roman" w:hAnsi="Times New Roman"/>
          <w:sz w:val="22"/>
          <w:szCs w:val="22"/>
          <w:color w:val="auto"/>
        </w:rPr>
        <w:t>. Unless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specified in a separate provision of this Section 4, either Executive or Company, by action of the Board, may terminate this Agreement, and Executive’s employment by Company, for any reason after providing thirty (30) days written notice to the non-terminating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186690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64" w:lineRule="exact"/>
        <w:rPr>
          <w:sz w:val="20"/>
          <w:szCs w:val="20"/>
          <w:color w:val="auto"/>
        </w:rPr>
      </w:pPr>
    </w:p>
    <w:p>
      <w:pPr>
        <w:jc w:val="both"/>
        <w:ind w:left="1780" w:firstLine="1488"/>
        <w:spacing w:after="0" w:line="236" w:lineRule="auto"/>
        <w:tabs>
          <w:tab w:leader="none" w:pos="355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terminates this Agreement pursuant to this provision for a reason other than Good Reason, Company will pay Executive: (i) all accrued but unpaid Base Salary, (ii) a prorated amount of Executive’s Base Salary for accrued but unused vacation days, and (iii) yet unpaid reimbursements for any reasonable and necessary business expenses incurred by Executive prior to the Date of Termination in connection with her duties hereunder (such amounts collectively, the “</w:t>
      </w:r>
      <w:r>
        <w:rPr>
          <w:rFonts w:ascii="Times New Roman" w:cs="Times New Roman" w:eastAsia="Times New Roman" w:hAnsi="Times New Roman"/>
          <w:sz w:val="22"/>
          <w:szCs w:val="22"/>
          <w:b w:val="1"/>
          <w:bCs w:val="1"/>
          <w:i w:val="1"/>
          <w:i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Compensation and Reimbursements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780" w:firstLine="1497"/>
        <w:spacing w:after="0" w:line="258" w:lineRule="auto"/>
        <w:rPr>
          <w:sz w:val="20"/>
          <w:szCs w:val="20"/>
          <w:color w:val="auto"/>
        </w:rPr>
      </w:pPr>
      <w:r>
        <w:rPr>
          <w:rFonts w:ascii="Times New Roman" w:cs="Times New Roman" w:eastAsia="Times New Roman" w:hAnsi="Times New Roman"/>
          <w:sz w:val="20"/>
          <w:szCs w:val="20"/>
          <w:color w:val="auto"/>
        </w:rPr>
        <w:t xml:space="preserve">(ii)Upon termination by Company of this Agreement pursuant to Section 4(a) without Cause or upon the expiration of the Employment Period due to the non-renewal of Executive’s employment pursuant to the terms of a Non-Renewal Notice given by the Company under Section 1(b) of this Agreement, Company shall pay or provide to Executive the following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Severance Payments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provided that Executive has signed a Release (as defined in Section 7) and such Release has become non-revocable:</w:t>
      </w:r>
    </w:p>
    <w:p>
      <w:pPr>
        <w:spacing w:after="0" w:line="1" w:lineRule="exact"/>
        <w:rPr>
          <w:sz w:val="20"/>
          <w:szCs w:val="20"/>
          <w:color w:val="auto"/>
        </w:rPr>
      </w:pPr>
    </w:p>
    <w:p>
      <w:pPr>
        <w:ind w:left="1780" w:hanging="10"/>
        <w:spacing w:after="0" w:line="237" w:lineRule="auto"/>
        <w:tabs>
          <w:tab w:leader="none" w:pos="214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Compensation and Reimbursements; (B) a lump sum payment equal to six (6) months of the Executive’s Base Salary (at the rate in effect hereunder as of the Date of Termination).</w:t>
      </w:r>
    </w:p>
    <w:p>
      <w:pPr>
        <w:spacing w:after="0" w:line="200" w:lineRule="exact"/>
        <w:rPr>
          <w:rFonts w:ascii="Times New Roman" w:cs="Times New Roman" w:eastAsia="Times New Roman" w:hAnsi="Times New Roman"/>
          <w:sz w:val="22"/>
          <w:szCs w:val="22"/>
          <w:color w:val="auto"/>
        </w:rPr>
      </w:pPr>
    </w:p>
    <w:p>
      <w:pPr>
        <w:jc w:val="both"/>
        <w:ind w:left="1020" w:firstLine="1499"/>
        <w:spacing w:after="0" w:line="246" w:lineRule="auto"/>
        <w:tabs>
          <w:tab w:leader="none" w:pos="303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 Company, by action of the Board may terminate this Agreement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time for Cause. Upon termination by Company for Cause, Executive shall only be entitled to Accrued Compensation and Reimbursements. For purposes hereof,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w:t>
      </w:r>
    </w:p>
    <w:p>
      <w:pPr>
        <w:spacing w:after="0" w:line="196" w:lineRule="exact"/>
        <w:rPr>
          <w:rFonts w:ascii="Times New Roman" w:cs="Times New Roman" w:eastAsia="Times New Roman" w:hAnsi="Times New Roman"/>
          <w:sz w:val="22"/>
          <w:szCs w:val="22"/>
          <w:color w:val="auto"/>
        </w:rPr>
      </w:pPr>
    </w:p>
    <w:p>
      <w:pPr>
        <w:jc w:val="both"/>
        <w:ind w:left="1780" w:firstLine="1488"/>
        <w:spacing w:after="0" w:line="237" w:lineRule="auto"/>
        <w:tabs>
          <w:tab w:leader="none" w:pos="3558"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commission of theft, embezzlement, or any act of fraud relating to her employment with Company or any willful and material violation of any law, rules or regulation applicable to the Company, including, but not limited to, those laws, rules or regulations established by the Securities and Exchange Commission, or any self-regulatory organization having jurisdiction or authority over Executive or the Company; or</w:t>
      </w:r>
    </w:p>
    <w:p>
      <w:pPr>
        <w:spacing w:after="0" w:line="176" w:lineRule="exact"/>
        <w:rPr>
          <w:sz w:val="20"/>
          <w:szCs w:val="20"/>
          <w:color w:val="auto"/>
        </w:rPr>
      </w:pPr>
    </w:p>
    <w:p>
      <w:pPr>
        <w:jc w:val="both"/>
        <w:ind w:left="1780" w:firstLine="1497"/>
        <w:spacing w:after="0" w:line="261" w:lineRule="auto"/>
        <w:rPr>
          <w:sz w:val="20"/>
          <w:szCs w:val="20"/>
          <w:color w:val="auto"/>
        </w:rPr>
      </w:pPr>
      <w:r>
        <w:rPr>
          <w:rFonts w:ascii="Times New Roman" w:cs="Times New Roman" w:eastAsia="Times New Roman" w:hAnsi="Times New Roman"/>
          <w:sz w:val="22"/>
          <w:szCs w:val="22"/>
          <w:color w:val="auto"/>
        </w:rPr>
        <w:t xml:space="preserve">(ii)Executive’s conviction of, or Executive’s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any felony or of any other crime involving fraud, dishonesty or moral turpitude; or</w:t>
      </w:r>
    </w:p>
    <w:p>
      <w:pPr>
        <w:spacing w:after="0" w:line="155" w:lineRule="exact"/>
        <w:rPr>
          <w:sz w:val="20"/>
          <w:szCs w:val="20"/>
          <w:color w:val="auto"/>
        </w:rPr>
      </w:pPr>
    </w:p>
    <w:p>
      <w:pPr>
        <w:jc w:val="both"/>
        <w:ind w:left="1780" w:firstLine="1497"/>
        <w:spacing w:after="0" w:line="237" w:lineRule="auto"/>
        <w:rPr>
          <w:sz w:val="20"/>
          <w:szCs w:val="20"/>
          <w:color w:val="auto"/>
        </w:rPr>
      </w:pPr>
      <w:r>
        <w:rPr>
          <w:rFonts w:ascii="Times New Roman" w:cs="Times New Roman" w:eastAsia="Times New Roman" w:hAnsi="Times New Roman"/>
          <w:sz w:val="22"/>
          <w:szCs w:val="22"/>
          <w:color w:val="auto"/>
        </w:rPr>
        <w:t>(iii)A determination by the Board that Executive has materially breached this Agreement (other than during any period of Disability, as defined below) where such breach is not remedied within ten business (10) days after written demand by the Board for substantial performance is actually received by Executive which specifically identifies the manner in which the Board believes Executive has so breached; or</w:t>
      </w:r>
    </w:p>
    <w:p>
      <w:pPr>
        <w:spacing w:after="0" w:line="221" w:lineRule="exact"/>
        <w:rPr>
          <w:sz w:val="20"/>
          <w:szCs w:val="20"/>
          <w:color w:val="auto"/>
        </w:rPr>
      </w:pPr>
    </w:p>
    <w:p>
      <w:pPr>
        <w:jc w:val="both"/>
        <w:ind w:left="1780" w:firstLine="1497"/>
        <w:spacing w:after="0" w:line="239" w:lineRule="auto"/>
        <w:rPr>
          <w:sz w:val="20"/>
          <w:szCs w:val="20"/>
          <w:color w:val="auto"/>
        </w:rPr>
      </w:pPr>
      <w:r>
        <w:rPr>
          <w:rFonts w:ascii="Times New Roman" w:cs="Times New Roman" w:eastAsia="Times New Roman" w:hAnsi="Times New Roman"/>
          <w:sz w:val="22"/>
          <w:szCs w:val="22"/>
          <w:color w:val="auto"/>
        </w:rPr>
        <w:t>(iv)Executive’s willful and continued failure to perform her reasonable and customary duties as Senior Vice President, Legal , which such failure is not remedied within ten business (10) days after written demand by the Board for substantial performance is actually received by Executive which specifically identifies the nature of such failure.</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Company, by action of the Board, may terminate Executive’s employment for Cause only after:</w:t>
      </w:r>
    </w:p>
    <w:p>
      <w:pPr>
        <w:spacing w:after="0" w:line="14" w:lineRule="exact"/>
        <w:rPr>
          <w:sz w:val="20"/>
          <w:szCs w:val="20"/>
          <w:color w:val="auto"/>
        </w:rPr>
      </w:pPr>
    </w:p>
    <w:p>
      <w:pPr>
        <w:jc w:val="both"/>
        <w:ind w:left="1020" w:firstLine="7"/>
        <w:spacing w:after="0" w:line="253" w:lineRule="auto"/>
        <w:tabs>
          <w:tab w:leader="none" w:pos="128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written notice to Executive, which identifies the Cause for Executive’s termination (which notice must be given within ninety (90) days after the actual discovery of the act(s) or omission(s) constituting such Cause) and</w:t>
      </w:r>
    </w:p>
    <w:p>
      <w:pPr>
        <w:ind w:left="1020" w:firstLine="7"/>
        <w:spacing w:after="0" w:line="237" w:lineRule="auto"/>
        <w:tabs>
          <w:tab w:leader="none" w:pos="136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given an opportunity, together with her counsel, to be heard by the Board at a time and location reasonably designated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186055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60" w:lineRule="exact"/>
        <w:rPr>
          <w:sz w:val="20"/>
          <w:szCs w:val="20"/>
          <w:color w:val="auto"/>
        </w:rPr>
      </w:pPr>
    </w:p>
    <w:p>
      <w:pPr>
        <w:jc w:val="both"/>
        <w:ind w:left="1020" w:firstLine="1499"/>
        <w:spacing w:after="0" w:line="265" w:lineRule="auto"/>
        <w:tabs>
          <w:tab w:leader="none" w:pos="303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with Good Reason</w:t>
      </w:r>
      <w:r>
        <w:rPr>
          <w:rFonts w:ascii="Times New Roman" w:cs="Times New Roman" w:eastAsia="Times New Roman" w:hAnsi="Times New Roman"/>
          <w:sz w:val="20"/>
          <w:szCs w:val="20"/>
          <w:color w:val="auto"/>
        </w:rPr>
        <w:t>. Executive may terminate this Agreement for Good Reason,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thereby resign her employment, after providing thirty (30) days’ written notice to the Company of the act(s) or omission(s) constituting Good Reason (which notice must be given within ninety (90) days after the occurrence of such act(s) or omission(s) and describe the act(s) or omission(s) in reasonable detail) if such act(s) or omission(s) is/are not cured by the Company within thirty (30) days after Executive provides such written notice. For purposes hereof,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any of the following reasons that occurs without Executive’s written consent:</w:t>
      </w:r>
    </w:p>
    <w:p>
      <w:pPr>
        <w:spacing w:after="0" w:line="152" w:lineRule="exact"/>
        <w:rPr>
          <w:rFonts w:ascii="Times New Roman" w:cs="Times New Roman" w:eastAsia="Times New Roman" w:hAnsi="Times New Roman"/>
          <w:sz w:val="20"/>
          <w:szCs w:val="20"/>
          <w:color w:val="auto"/>
        </w:rPr>
      </w:pPr>
    </w:p>
    <w:p>
      <w:pPr>
        <w:ind w:left="3540" w:hanging="272"/>
        <w:spacing w:after="0"/>
        <w:tabs>
          <w:tab w:leader="none" w:pos="35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significant duties without Executive’s consent;</w:t>
      </w:r>
    </w:p>
    <w:p>
      <w:pPr>
        <w:spacing w:after="0" w:line="246" w:lineRule="exact"/>
        <w:rPr>
          <w:sz w:val="20"/>
          <w:szCs w:val="20"/>
          <w:color w:val="auto"/>
        </w:rPr>
      </w:pPr>
    </w:p>
    <w:p>
      <w:pPr>
        <w:jc w:val="both"/>
        <w:ind w:left="1780" w:firstLine="1497"/>
        <w:spacing w:after="0" w:line="244" w:lineRule="auto"/>
        <w:rPr>
          <w:sz w:val="20"/>
          <w:szCs w:val="20"/>
          <w:color w:val="auto"/>
        </w:rPr>
      </w:pPr>
      <w:r>
        <w:rPr>
          <w:rFonts w:ascii="Times New Roman" w:cs="Times New Roman" w:eastAsia="Times New Roman" w:hAnsi="Times New Roman"/>
          <w:sz w:val="22"/>
          <w:szCs w:val="22"/>
          <w:color w:val="auto"/>
        </w:rPr>
        <w:t>(ii)A reduction in Executive’s Base Salary, other than a one-time reduction affecting senior management similarly and in no event more than 10% from the Base Salary in effect on the date hereof, or</w:t>
      </w:r>
    </w:p>
    <w:p>
      <w:pPr>
        <w:spacing w:after="0" w:line="199" w:lineRule="exact"/>
        <w:rPr>
          <w:sz w:val="20"/>
          <w:szCs w:val="20"/>
          <w:color w:val="auto"/>
        </w:rPr>
      </w:pPr>
    </w:p>
    <w:p>
      <w:pPr>
        <w:jc w:val="both"/>
        <w:ind w:left="1780" w:firstLine="1497"/>
        <w:spacing w:after="0" w:line="239" w:lineRule="auto"/>
        <w:rPr>
          <w:sz w:val="20"/>
          <w:szCs w:val="20"/>
          <w:color w:val="auto"/>
        </w:rPr>
      </w:pPr>
      <w:r>
        <w:rPr>
          <w:rFonts w:ascii="Times New Roman" w:cs="Times New Roman" w:eastAsia="Times New Roman" w:hAnsi="Times New Roman"/>
          <w:sz w:val="22"/>
          <w:szCs w:val="22"/>
          <w:color w:val="auto"/>
        </w:rPr>
        <w:t>(iii)A reduction in Executive’s annual bonus opportunity of more than ten (10%) below the level specified in Section 2(b), it being understood and expressly agreed that no Annual Bonus payment is guaranteed and that the Board’s determination of Executive’s actual Annual Bonus payment in any amount less than the Target Bonus shall not constitute Good Reason under this Section 4(c)(iii); or</w:t>
      </w:r>
    </w:p>
    <w:p>
      <w:pPr>
        <w:spacing w:after="0" w:line="219" w:lineRule="exact"/>
        <w:rPr>
          <w:sz w:val="20"/>
          <w:szCs w:val="20"/>
          <w:color w:val="auto"/>
        </w:rPr>
      </w:pPr>
    </w:p>
    <w:p>
      <w:pPr>
        <w:ind w:left="1780" w:right="260" w:firstLine="1497"/>
        <w:spacing w:after="0" w:line="258" w:lineRule="auto"/>
        <w:rPr>
          <w:sz w:val="20"/>
          <w:szCs w:val="20"/>
          <w:color w:val="auto"/>
        </w:rPr>
      </w:pPr>
      <w:r>
        <w:rPr>
          <w:rFonts w:ascii="Times New Roman" w:cs="Times New Roman" w:eastAsia="Times New Roman" w:hAnsi="Times New Roman"/>
          <w:sz w:val="22"/>
          <w:szCs w:val="22"/>
          <w:color w:val="auto"/>
        </w:rPr>
        <w:t>(iv)Relocation of Executive’s principal place of business to a location fifty (50) or more miles from its location as of the Effective Date; or</w:t>
      </w:r>
    </w:p>
    <w:p>
      <w:pPr>
        <w:spacing w:after="0" w:line="198" w:lineRule="exact"/>
        <w:rPr>
          <w:sz w:val="20"/>
          <w:szCs w:val="20"/>
          <w:color w:val="auto"/>
        </w:rPr>
      </w:pPr>
    </w:p>
    <w:p>
      <w:pPr>
        <w:ind w:left="4020" w:hanging="752"/>
        <w:spacing w:after="0"/>
        <w:tabs>
          <w:tab w:leader="none" w:pos="4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Company of this Agreement; or</w:t>
      </w:r>
    </w:p>
    <w:p>
      <w:pPr>
        <w:spacing w:after="0" w:line="232" w:lineRule="exact"/>
        <w:rPr>
          <w:sz w:val="20"/>
          <w:szCs w:val="20"/>
          <w:color w:val="auto"/>
        </w:rPr>
      </w:pPr>
    </w:p>
    <w:p>
      <w:pPr>
        <w:ind w:left="1780" w:right="340" w:firstLine="1497"/>
        <w:spacing w:after="0" w:line="258" w:lineRule="auto"/>
        <w:rPr>
          <w:sz w:val="20"/>
          <w:szCs w:val="20"/>
          <w:color w:val="auto"/>
        </w:rPr>
      </w:pPr>
      <w:r>
        <w:rPr>
          <w:rFonts w:ascii="Times New Roman" w:cs="Times New Roman" w:eastAsia="Times New Roman" w:hAnsi="Times New Roman"/>
          <w:sz w:val="22"/>
          <w:szCs w:val="22"/>
          <w:color w:val="auto"/>
        </w:rPr>
        <w:t>(vi)Company’s failure to make any material payment to Executive required to be made under the terms of this Agreement.</w:t>
      </w:r>
    </w:p>
    <w:p>
      <w:pPr>
        <w:spacing w:after="0" w:line="198" w:lineRule="exact"/>
        <w:rPr>
          <w:sz w:val="20"/>
          <w:szCs w:val="20"/>
          <w:color w:val="auto"/>
        </w:rPr>
      </w:pPr>
    </w:p>
    <w:p>
      <w:pPr>
        <w:jc w:val="both"/>
        <w:ind w:left="1020"/>
        <w:spacing w:after="0" w:line="235" w:lineRule="auto"/>
        <w:rPr>
          <w:sz w:val="20"/>
          <w:szCs w:val="20"/>
          <w:color w:val="auto"/>
        </w:rPr>
      </w:pPr>
      <w:r>
        <w:rPr>
          <w:rFonts w:ascii="Times New Roman" w:cs="Times New Roman" w:eastAsia="Times New Roman" w:hAnsi="Times New Roman"/>
          <w:sz w:val="22"/>
          <w:szCs w:val="22"/>
          <w:color w:val="auto"/>
        </w:rPr>
        <w:t>Notwithstanding the foregoing, Executive may not resign for Good Reason unless and until Executive has: (a) provided Company, within ninety (90) days of Executive’s knowledge of the occurrence of the facts and circumstances underlying the Good Reason event, written notice stating with specificity the applicable facts and circumstances underlying such finding of Good Reason;</w:t>
      </w:r>
    </w:p>
    <w:p>
      <w:pPr>
        <w:spacing w:after="0" w:line="4" w:lineRule="exact"/>
        <w:rPr>
          <w:sz w:val="20"/>
          <w:szCs w:val="20"/>
          <w:color w:val="auto"/>
        </w:rPr>
      </w:pPr>
    </w:p>
    <w:p>
      <w:pPr>
        <w:ind w:left="1340" w:hanging="313"/>
        <w:spacing w:after="0"/>
        <w:tabs>
          <w:tab w:leader="none" w:pos="13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Company with an opportunity to cure the same within ten (10) days after the receipt of such notice; and</w:t>
      </w:r>
    </w:p>
    <w:p>
      <w:pPr>
        <w:spacing w:after="0" w:line="12" w:lineRule="exact"/>
        <w:rPr>
          <w:rFonts w:ascii="Times New Roman" w:cs="Times New Roman" w:eastAsia="Times New Roman" w:hAnsi="Times New Roman"/>
          <w:sz w:val="20"/>
          <w:szCs w:val="20"/>
          <w:color w:val="auto"/>
        </w:rPr>
      </w:pPr>
    </w:p>
    <w:p>
      <w:pPr>
        <w:ind w:left="1320" w:hanging="293"/>
        <w:spacing w:after="0"/>
        <w:tabs>
          <w:tab w:leader="none" w:pos="13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resigned employment with Company within thirty (30) days following Company’s failure to cure.</w:t>
      </w:r>
    </w:p>
    <w:p>
      <w:pPr>
        <w:spacing w:after="0" w:line="222" w:lineRule="exact"/>
        <w:rPr>
          <w:sz w:val="20"/>
          <w:szCs w:val="20"/>
          <w:color w:val="auto"/>
        </w:rPr>
      </w:pPr>
    </w:p>
    <w:p>
      <w:pPr>
        <w:ind w:left="1020" w:right="20"/>
        <w:spacing w:after="0" w:line="258" w:lineRule="auto"/>
        <w:rPr>
          <w:sz w:val="20"/>
          <w:szCs w:val="20"/>
          <w:color w:val="auto"/>
        </w:rPr>
      </w:pPr>
      <w:r>
        <w:rPr>
          <w:rFonts w:ascii="Times New Roman" w:cs="Times New Roman" w:eastAsia="Times New Roman" w:hAnsi="Times New Roman"/>
          <w:sz w:val="22"/>
          <w:szCs w:val="22"/>
          <w:color w:val="auto"/>
        </w:rPr>
        <w:t>Upon termination of this Agreement pursuant to this Section 4(c), Company shall pay Executive the Severance Payments at the time set forth in Section 4(a)(ii).</w:t>
      </w:r>
    </w:p>
    <w:p>
      <w:pPr>
        <w:spacing w:after="0" w:line="180" w:lineRule="exact"/>
        <w:rPr>
          <w:sz w:val="20"/>
          <w:szCs w:val="20"/>
          <w:color w:val="auto"/>
        </w:rPr>
      </w:pPr>
    </w:p>
    <w:p>
      <w:pPr>
        <w:jc w:val="both"/>
        <w:ind w:left="1020" w:firstLine="1499"/>
        <w:spacing w:after="0" w:line="234" w:lineRule="auto"/>
        <w:tabs>
          <w:tab w:leader="none" w:pos="303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by Disability</w:t>
      </w:r>
      <w:r>
        <w:rPr>
          <w:rFonts w:ascii="Times New Roman" w:cs="Times New Roman" w:eastAsia="Times New Roman" w:hAnsi="Times New Roman"/>
          <w:sz w:val="22"/>
          <w:szCs w:val="22"/>
          <w:color w:val="auto"/>
        </w:rPr>
        <w:t>. Company, by action of the Board, may terminate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at any time if Executive shall be deemed in the reasonable judgment of the Board to have sustained a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Executive shall be deemed to have sustained a Disability if and only if she shall have been unable to substantially perform her duties as an employee of Company as a result of sickness or injury, and shall have remained unable to perform any such duties for a period of more than 180 consecutive days in any twelve (12) month period. Upon termination of this Agreement for Disability, Company shall pay Executive: (i) Accrued Compensation and Reimbursements, which amount shall be paid within ten (10) business days after the Date of Termination, (ii) any Annual Bonus for the year prior to the year in which the Date of Termination occurred that was earned but not yet paid, paid at the same time annual bonuses are paid to other executives (but in no event later than March 15th of the calendar year following the calendar year in which the Annual Bonus was earned, (iii) a pro rata Annual Bonus in respect of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jc w:val="both"/>
        <w:ind w:left="1020"/>
        <w:spacing w:after="0" w:line="230" w:lineRule="auto"/>
        <w:rPr>
          <w:sz w:val="20"/>
          <w:szCs w:val="20"/>
          <w:color w:val="auto"/>
        </w:rPr>
      </w:pPr>
      <w:r>
        <w:rPr>
          <w:rFonts w:ascii="Times New Roman" w:cs="Times New Roman" w:eastAsia="Times New Roman" w:hAnsi="Times New Roman"/>
          <w:sz w:val="22"/>
          <w:szCs w:val="22"/>
          <w:color w:val="auto"/>
        </w:rPr>
        <w:t>months Executive was employed by the Company during the year in which the Executive is deemed by the Board to have sustained a Disability, based on actual performance and paid at the same time annual bonuses are paid to other senior management (but in no event later than March 15th of the calendar year following the calendar year in which the Annual Bonus was earned), and</w:t>
      </w:r>
    </w:p>
    <w:p>
      <w:pPr>
        <w:spacing w:after="0" w:line="1" w:lineRule="exact"/>
        <w:rPr>
          <w:sz w:val="20"/>
          <w:szCs w:val="20"/>
          <w:color w:val="auto"/>
        </w:rPr>
      </w:pPr>
    </w:p>
    <w:p>
      <w:pPr>
        <w:ind w:left="1020" w:firstLine="7"/>
        <w:spacing w:after="0" w:line="237" w:lineRule="auto"/>
        <w:tabs>
          <w:tab w:leader="none" w:pos="141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amounts or benefits to which Executive may be entitled under a separate plan, policy or program maintained by the Company.</w:t>
      </w:r>
    </w:p>
    <w:p>
      <w:pPr>
        <w:spacing w:after="0" w:line="213" w:lineRule="exact"/>
        <w:rPr>
          <w:rFonts w:ascii="Times New Roman" w:cs="Times New Roman" w:eastAsia="Times New Roman" w:hAnsi="Times New Roman"/>
          <w:sz w:val="22"/>
          <w:szCs w:val="22"/>
          <w:color w:val="auto"/>
        </w:rPr>
      </w:pPr>
    </w:p>
    <w:p>
      <w:pPr>
        <w:jc w:val="both"/>
        <w:ind w:left="1020" w:firstLine="1499"/>
        <w:spacing w:after="0" w:line="234" w:lineRule="auto"/>
        <w:tabs>
          <w:tab w:leader="none" w:pos="3035"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by Death</w:t>
      </w:r>
      <w:r>
        <w:rPr>
          <w:rFonts w:ascii="Times New Roman" w:cs="Times New Roman" w:eastAsia="Times New Roman" w:hAnsi="Times New Roman"/>
          <w:sz w:val="22"/>
          <w:szCs w:val="22"/>
          <w:color w:val="auto"/>
        </w:rPr>
        <w:t>. This Agreement will terminate automatically upon Executive’s death.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Upon termination of this Agreement because of Executive’s death, Company shall pay or provide Executive’s estate with the following: (i) Accrued Compensation and Reimbursements, which amount shall be paid within ten (10) business days after the Date of Termination, (ii) any Annual Bonus for the year prior to the year in which the Date of Termination occurred that was earned but not yet paid, paid at the same time annual bonuses are paid to other executives (but in no event later than March 15th of the calendar year following the calendar year in which the Annual Bonus was earned), (iii) a pro rata Annual Bonus in respect of the number of months Executive was employed prior to Executive’s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paid at the same time annual bonuses are paid to other executives (but in no event later than March 15th of the calendar year following the calendar year in which the Annual Bonus was earned), and (iv) any other amounts or benefits to which Executive may be entitled under a separate plan, policy or program maintained by the Company.</w:t>
      </w:r>
    </w:p>
    <w:p>
      <w:pPr>
        <w:spacing w:after="0" w:line="170" w:lineRule="exact"/>
        <w:rPr>
          <w:rFonts w:ascii="Times New Roman" w:cs="Times New Roman" w:eastAsia="Times New Roman" w:hAnsi="Times New Roman"/>
          <w:sz w:val="22"/>
          <w:szCs w:val="22"/>
          <w:color w:val="auto"/>
        </w:rPr>
      </w:pPr>
    </w:p>
    <w:p>
      <w:pPr>
        <w:jc w:val="both"/>
        <w:ind w:left="1020" w:firstLine="1499"/>
        <w:spacing w:after="0" w:line="235" w:lineRule="auto"/>
        <w:tabs>
          <w:tab w:leader="none" w:pos="3035"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Termination</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means (i)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her death, the date of her death; (ii) if Executive’s employment is terminated as a result of a Disability or by Company for Cause or without Cause, then the date specified in a notice delivered to Executive by Company of such termination, (iii) if Executive’s employment is terminated by Executive for Good Reason, then the date specified in the notice of such termination delivered to Company by Executive, (iv) if Executive’s employment terminates due to the giving of a Non-Renewal Notice, the last day of the Employment Period, and (v) if Executive’s employment is terminated for any other reason, the date specified therefore in the notice of such termination.</w:t>
      </w:r>
    </w:p>
    <w:p>
      <w:pPr>
        <w:spacing w:after="0" w:line="204" w:lineRule="exact"/>
        <w:rPr>
          <w:rFonts w:ascii="Times New Roman" w:cs="Times New Roman" w:eastAsia="Times New Roman" w:hAnsi="Times New Roman"/>
          <w:sz w:val="22"/>
          <w:szCs w:val="22"/>
          <w:color w:val="auto"/>
        </w:rPr>
      </w:pPr>
    </w:p>
    <w:p>
      <w:pPr>
        <w:ind w:left="2520" w:hanging="750"/>
        <w:spacing w:after="0"/>
        <w:tabs>
          <w:tab w:leader="none" w:pos="2520"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p>
    <w:p>
      <w:pPr>
        <w:spacing w:after="0" w:line="250" w:lineRule="exact"/>
        <w:rPr>
          <w:sz w:val="20"/>
          <w:szCs w:val="20"/>
          <w:color w:val="auto"/>
        </w:rPr>
      </w:pPr>
    </w:p>
    <w:p>
      <w:pPr>
        <w:jc w:val="both"/>
        <w:ind w:left="1020" w:firstLine="749"/>
        <w:spacing w:after="0" w:line="237" w:lineRule="auto"/>
        <w:rPr>
          <w:sz w:val="20"/>
          <w:szCs w:val="20"/>
          <w:color w:val="auto"/>
        </w:rPr>
      </w:pPr>
      <w:r>
        <w:rPr>
          <w:rFonts w:ascii="Times New Roman" w:cs="Times New Roman" w:eastAsia="Times New Roman" w:hAnsi="Times New Roman"/>
          <w:sz w:val="22"/>
          <w:szCs w:val="22"/>
          <w:color w:val="auto"/>
        </w:rPr>
        <w:t>Upon termination of this Agreement, Executive’s employment shall also terminate and cease, and Executive shall be deemed to have voluntarily resigned from all positions and the Board, if Executive is a member of the Board. Executive shall confirm the foregoing resignation(s) by submitting to the Company written confirmation of Executive’s resignation(s), and the Company’s obligations to pay the Severance Payment shall be subject to the Company’s receipt of such written confirmation.</w:t>
      </w:r>
    </w:p>
    <w:p>
      <w:pPr>
        <w:spacing w:after="0" w:line="217" w:lineRule="exact"/>
        <w:rPr>
          <w:sz w:val="20"/>
          <w:szCs w:val="20"/>
          <w:color w:val="auto"/>
        </w:rPr>
      </w:pPr>
    </w:p>
    <w:p>
      <w:pPr>
        <w:ind w:left="2520" w:hanging="750"/>
        <w:spacing w:after="0"/>
        <w:tabs>
          <w:tab w:leader="none" w:pos="25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Mitigation.</w:t>
      </w:r>
    </w:p>
    <w:p>
      <w:pPr>
        <w:spacing w:after="0" w:line="236" w:lineRule="exact"/>
        <w:rPr>
          <w:sz w:val="20"/>
          <w:szCs w:val="20"/>
          <w:color w:val="auto"/>
        </w:rPr>
      </w:pPr>
    </w:p>
    <w:p>
      <w:pPr>
        <w:ind w:left="1020" w:right="20" w:firstLine="749"/>
        <w:spacing w:after="0" w:line="258" w:lineRule="auto"/>
        <w:rPr>
          <w:sz w:val="20"/>
          <w:szCs w:val="20"/>
          <w:color w:val="auto"/>
        </w:rPr>
      </w:pPr>
      <w:r>
        <w:rPr>
          <w:rFonts w:ascii="Times New Roman" w:cs="Times New Roman" w:eastAsia="Times New Roman" w:hAnsi="Times New Roman"/>
          <w:sz w:val="22"/>
          <w:szCs w:val="22"/>
          <w:color w:val="auto"/>
        </w:rPr>
        <w:t>Upon termination of this Agreement for any reason, amounts to be paid per the express terms of this Agreement shall not be reduced whether or not Executive obtains other employment.</w:t>
      </w:r>
    </w:p>
    <w:p>
      <w:pPr>
        <w:spacing w:after="0" w:line="194" w:lineRule="exact"/>
        <w:rPr>
          <w:sz w:val="20"/>
          <w:szCs w:val="20"/>
          <w:color w:val="auto"/>
        </w:rPr>
      </w:pPr>
    </w:p>
    <w:p>
      <w:pPr>
        <w:ind w:left="2520" w:hanging="750"/>
        <w:spacing w:after="0"/>
        <w:tabs>
          <w:tab w:leader="none" w:pos="25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w:t>
      </w:r>
    </w:p>
    <w:p>
      <w:pPr>
        <w:spacing w:after="0" w:line="250" w:lineRule="exact"/>
        <w:rPr>
          <w:sz w:val="20"/>
          <w:szCs w:val="20"/>
          <w:color w:val="auto"/>
        </w:rPr>
      </w:pPr>
    </w:p>
    <w:p>
      <w:pPr>
        <w:jc w:val="both"/>
        <w:ind w:left="1020" w:firstLine="749"/>
        <w:spacing w:after="0" w:line="237" w:lineRule="auto"/>
        <w:rPr>
          <w:sz w:val="20"/>
          <w:szCs w:val="20"/>
          <w:color w:val="auto"/>
        </w:rPr>
      </w:pPr>
      <w:r>
        <w:rPr>
          <w:rFonts w:ascii="Times New Roman" w:cs="Times New Roman" w:eastAsia="Times New Roman" w:hAnsi="Times New Roman"/>
          <w:sz w:val="22"/>
          <w:szCs w:val="22"/>
          <w:color w:val="auto"/>
        </w:rPr>
        <w:t>Notwithstanding any other provision in this Agreement to the contrary, as a condition precedent to receiving any severance payments or benefits set forth in this Agreement (other than the Accrued Compensation and Reimbursements) in connection with any applicable termination scenario, Executive agrees to execute (and not revoke) a customary severance and release agreement, including a waiver of all claims, reasonably acceptable to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50800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jc w:val="both"/>
        <w:ind w:left="102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within the twenty-one (21) day period immediately following the Date of Termination. All revocation rights and timing restrictions shall be set forth in such Release. If Executive fails to execute and deliver the Release, or revokes the Release, Executive agrees that she shall not be entitled to receive any severance payments or benefits set forth in Section 4 of this Agreement (other than the Accrued Compensation and Reimbursements) in connection with any applicable termination scenario. For purposes of this Agreement, the Release shall be considered to have been executed by Executive if it is signed by her legal representative in the case of legal incompetence or on behalf of Executive’s estate in the case of her death.</w:t>
      </w:r>
    </w:p>
    <w:p>
      <w:pPr>
        <w:spacing w:after="0" w:line="215" w:lineRule="exact"/>
        <w:rPr>
          <w:sz w:val="20"/>
          <w:szCs w:val="20"/>
          <w:color w:val="auto"/>
        </w:rPr>
      </w:pPr>
    </w:p>
    <w:p>
      <w:pPr>
        <w:ind w:left="2520" w:hanging="750"/>
        <w:spacing w:after="0"/>
        <w:tabs>
          <w:tab w:leader="none" w:pos="2520"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Nondisclosure.</w:t>
      </w:r>
    </w:p>
    <w:p>
      <w:pPr>
        <w:spacing w:after="0" w:line="236" w:lineRule="exact"/>
        <w:rPr>
          <w:rFonts w:ascii="Times New Roman" w:cs="Times New Roman" w:eastAsia="Times New Roman" w:hAnsi="Times New Roman"/>
          <w:sz w:val="22"/>
          <w:szCs w:val="22"/>
          <w:b w:val="1"/>
          <w:bCs w:val="1"/>
          <w:color w:val="auto"/>
        </w:rPr>
      </w:pPr>
    </w:p>
    <w:p>
      <w:pPr>
        <w:jc w:val="both"/>
        <w:ind w:left="1020" w:firstLine="1499"/>
        <w:spacing w:after="0" w:line="233" w:lineRule="auto"/>
        <w:tabs>
          <w:tab w:leader="none" w:pos="3035"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Executive during her tenure with the Company has received and will continue to receive access to some or all of the Company’s various trade secrets and confidential or proprietary information, including information she has not received before, consisting of, but not limited to, information relating to (i) business operations and methods, (ii) existing and proposed investments and investment strategies, (iii) financial performance, (iv) compensation arrangements and amounts (whether relating to the Company or to any of its employees), (v) contractual relationships, (vi) business partners and relationships, and (vii) inventions, products, processes, methods, techniques, formulas, compositions, compounds; (viii) manufacturing information,</w:t>
      </w:r>
    </w:p>
    <w:p>
      <w:pPr>
        <w:spacing w:after="0" w:line="3" w:lineRule="exact"/>
        <w:rPr>
          <w:rFonts w:ascii="Times New Roman" w:cs="Times New Roman" w:eastAsia="Times New Roman" w:hAnsi="Times New Roman"/>
          <w:sz w:val="22"/>
          <w:szCs w:val="22"/>
          <w:color w:val="auto"/>
        </w:rPr>
      </w:pPr>
    </w:p>
    <w:p>
      <w:pPr>
        <w:ind w:left="1400" w:hanging="378"/>
        <w:spacing w:after="0"/>
        <w:tabs>
          <w:tab w:leader="none" w:pos="14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information, strategies, research data, clinical data, financial data, personnel data, computer programs,</w:t>
      </w:r>
    </w:p>
    <w:p>
      <w:pPr>
        <w:spacing w:after="0" w:line="12" w:lineRule="exact"/>
        <w:rPr>
          <w:rFonts w:ascii="Times New Roman" w:cs="Times New Roman" w:eastAsia="Times New Roman" w:hAnsi="Times New Roman"/>
          <w:sz w:val="20"/>
          <w:szCs w:val="20"/>
          <w:color w:val="auto"/>
        </w:rPr>
      </w:pPr>
    </w:p>
    <w:p>
      <w:pPr>
        <w:jc w:val="both"/>
        <w:ind w:left="1020" w:firstLine="2"/>
        <w:spacing w:after="0" w:line="231" w:lineRule="auto"/>
        <w:tabs>
          <w:tab w:leader="none" w:pos="135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and supplier lists, and (xi) contacts at or knowledge of actual or prospective customers, suppliers, vendors, clinical sites, or collaborators of the Company (all of the forgoing,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Confidential Information shall not include: (A) information that Executive may furnish to third parties regarding her obligations under this Section 8 and under Section 10 or (B) information that (1) is general knowledge of Executive or information that becomes generally available to the public by means other than Executive’s breach of this Section 8 (for example, not as a result of Executive’s unauthorized release of marketing materials), (2) is in Executive’s possession, or becomes available to Executive, on a non-confidential basis, from a source other than the Company or (3) Executive is required by law, regulation, court order or discovery demand to disclose; provided, however, that in the case of clause (3), Executive gives the Company, to the extent permitted by law, reasonable notice prior to the disclosure of the Confidential Information and the reasons and circumstances surrounding such disclosure to provide the Company an opportunity to seek a protective order or other appropriate request for confidential treatment of the applicable Confidential Information.</w:t>
      </w:r>
    </w:p>
    <w:p>
      <w:pPr>
        <w:spacing w:after="0" w:line="222" w:lineRule="exact"/>
        <w:rPr>
          <w:rFonts w:ascii="Times New Roman" w:cs="Times New Roman" w:eastAsia="Times New Roman" w:hAnsi="Times New Roman"/>
          <w:sz w:val="22"/>
          <w:szCs w:val="22"/>
          <w:color w:val="auto"/>
        </w:rPr>
      </w:pPr>
    </w:p>
    <w:p>
      <w:pPr>
        <w:jc w:val="both"/>
        <w:ind w:left="1020" w:firstLine="1499"/>
        <w:spacing w:after="0" w:line="235" w:lineRule="auto"/>
        <w:tabs>
          <w:tab w:leader="none" w:pos="3035"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all Confidential Information, whether prepared by Executive or otherwise coming into her possession, shall remain the exclusive property of the Company during Executive’s employment with the Company. Executive further agrees that Executive shall not, except for the benefit of the Company pursuant to the exercise of her duties in accordance with this Agreement or with the prior written consent of the Company, use or disclose to any third party any of the Confidential Information described herein, directly or indirectly, either during Executive’s employment with the Company or at any time following the termination of Executive’s employment with the Company.</w:t>
      </w:r>
    </w:p>
    <w:p>
      <w:pPr>
        <w:spacing w:after="0" w:line="221" w:lineRule="exact"/>
        <w:rPr>
          <w:rFonts w:ascii="Times New Roman" w:cs="Times New Roman" w:eastAsia="Times New Roman" w:hAnsi="Times New Roman"/>
          <w:sz w:val="22"/>
          <w:szCs w:val="22"/>
          <w:color w:val="auto"/>
        </w:rPr>
      </w:pPr>
    </w:p>
    <w:p>
      <w:pPr>
        <w:jc w:val="both"/>
        <w:ind w:left="1020" w:firstLine="1499"/>
        <w:spacing w:after="0" w:line="266" w:lineRule="auto"/>
        <w:tabs>
          <w:tab w:leader="none" w:pos="3035"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this Agreement, Executive agrees that all Confidential Information and other files, documents, materials, records, notebooks, customer lists, business proposals, contracts, agreements and other repositories containing information concerning the Company or the business of the Company (including all copies thereof) in Executive’s possession, custody or control, whether prepared by Executive or others, shall remain with or be returned to the Company as soon as practicable after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DocuSign Envelope ID: 637BFF13-DD33-4BFF-8800-2B3B64E90BD5</w:t>
      </w:r>
    </w:p>
    <w:p>
      <w:pPr>
        <w:ind w:left="3260" w:hanging="741"/>
        <w:spacing w:after="0" w:line="236" w:lineRule="auto"/>
        <w:tabs>
          <w:tab w:leader="none" w:pos="326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will preclude, prohibit or restrict Executive from</w:t>
      </w:r>
    </w:p>
    <w:p>
      <w:pPr>
        <w:jc w:val="both"/>
        <w:ind w:left="1020" w:firstLine="7"/>
        <w:spacing w:after="0" w:line="230" w:lineRule="auto"/>
        <w:tabs>
          <w:tab w:leader="none" w:pos="12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 Nothing in this Agreement, or any other agreement between the parties, prohibits or is intended in any manner to prohibit, Executive from (A) reporting a possible violation of federal or other applicable law or regulation to any governmental agency or entity, including but not limited to the Department of Justice, the SEC, the U.S. Congress, and any governmental agency Inspector General, or (B) making other disclosures that are protected under whistleblower provisions of federal law or regulation. This Agreement does not limit Executive’s right to receive an award (including, without limitation, a monetary reward) for information provided to the SEC. Executive does not need the prior authorization of anyone at the Company to make any such reports or disclosures, and Executive is not required to notify the Company that Executive has made such reports or disclosures. Nothing in this Agreement or any other agreement or policy of the Company is intended to interfere with or restrain the immunity provided under 18 U.S.C. §1833(b). Executive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 The foregoing provisions regarding protected disclosures are intended to comply with all applicable laws. If any laws are adopted, amended or repealed after the execution of this Agreement, this Section 8(d) shall be deemed to be amended to reflect the same.</w:t>
      </w:r>
    </w:p>
    <w:p>
      <w:pPr>
        <w:spacing w:after="0" w:line="193" w:lineRule="exact"/>
        <w:rPr>
          <w:rFonts w:ascii="Times New Roman" w:cs="Times New Roman" w:eastAsia="Times New Roman" w:hAnsi="Times New Roman"/>
          <w:sz w:val="22"/>
          <w:szCs w:val="22"/>
          <w:color w:val="auto"/>
        </w:rPr>
      </w:pPr>
    </w:p>
    <w:p>
      <w:pPr>
        <w:jc w:val="both"/>
        <w:ind w:left="1020" w:firstLine="750"/>
        <w:spacing w:after="0" w:line="234" w:lineRule="auto"/>
        <w:tabs>
          <w:tab w:leader="none" w:pos="2020"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3A3A3A"/>
        </w:rPr>
        <w:t>Non-Disparagement</w:t>
      </w:r>
      <w:r>
        <w:rPr>
          <w:rFonts w:ascii="Times New Roman" w:cs="Times New Roman" w:eastAsia="Times New Roman" w:hAnsi="Times New Roman"/>
          <w:sz w:val="22"/>
          <w:szCs w:val="22"/>
          <w:b w:val="1"/>
          <w:bCs w:val="1"/>
          <w:color w:val="3A3A3A"/>
        </w:rPr>
        <w:t xml:space="preserve">. </w:t>
      </w:r>
      <w:r>
        <w:rPr>
          <w:rFonts w:ascii="Times New Roman" w:cs="Times New Roman" w:eastAsia="Times New Roman" w:hAnsi="Times New Roman"/>
          <w:sz w:val="22"/>
          <w:szCs w:val="22"/>
          <w:color w:val="3A3A3A"/>
        </w:rPr>
        <w:t>Executive agrees and covenants that Executive will not at any time make, publish,</w:t>
      </w:r>
      <w:r>
        <w:rPr>
          <w:rFonts w:ascii="Times New Roman" w:cs="Times New Roman" w:eastAsia="Times New Roman" w:hAnsi="Times New Roman"/>
          <w:sz w:val="22"/>
          <w:szCs w:val="22"/>
          <w:b w:val="1"/>
          <w:bCs w:val="1"/>
          <w:color w:val="3A3A3A"/>
        </w:rPr>
        <w:t xml:space="preserve"> </w:t>
      </w:r>
      <w:r>
        <w:rPr>
          <w:rFonts w:ascii="Times New Roman" w:cs="Times New Roman" w:eastAsia="Times New Roman" w:hAnsi="Times New Roman"/>
          <w:sz w:val="22"/>
          <w:szCs w:val="22"/>
          <w:color w:val="3A3A3A"/>
        </w:rPr>
        <w:t xml:space="preserve">or communicate to any person or entity or in any public forum any defamatory or disparaging remarks, comments, or statements concerning the Company or its businesses, or any of its employees, officers. </w:t>
      </w:r>
      <w:r>
        <w:rPr>
          <w:rFonts w:ascii="Times New Roman" w:cs="Times New Roman" w:eastAsia="Times New Roman" w:hAnsi="Times New Roman"/>
          <w:sz w:val="22"/>
          <w:szCs w:val="22"/>
          <w:b w:val="1"/>
          <w:bCs w:val="1"/>
          <w:u w:val="single" w:color="auto"/>
          <w:color w:val="000000"/>
        </w:rPr>
        <w:t>Non-Competition and</w:t>
      </w:r>
      <w:r>
        <w:rPr>
          <w:rFonts w:ascii="Times New Roman" w:cs="Times New Roman" w:eastAsia="Times New Roman" w:hAnsi="Times New Roman"/>
          <w:sz w:val="22"/>
          <w:szCs w:val="22"/>
          <w:color w:val="3A3A3A"/>
        </w:rPr>
        <w:t xml:space="preserve"> </w:t>
      </w:r>
      <w:r>
        <w:rPr>
          <w:rFonts w:ascii="Times New Roman" w:cs="Times New Roman" w:eastAsia="Times New Roman" w:hAnsi="Times New Roman"/>
          <w:sz w:val="22"/>
          <w:szCs w:val="22"/>
          <w:b w:val="1"/>
          <w:bCs w:val="1"/>
          <w:u w:val="single" w:color="auto"/>
          <w:color w:val="000000"/>
        </w:rPr>
        <w:t>Non-Solicitation.</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As part of the consideration for the compensation and benefits to be paid to Executive hereunder,</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to protect Confidential Information of the Company and its customers and clients that have been and will be entrusted to Executive, the business goodwill of the Company and its subsidiaries that will be developed in and through Executive and the business opportunities that will be disclosed or entrusted to Executive by the Company and its subsidiaries, and as an additional incentive for the Company to enter into this Agreement, Executive will not (other than for the benefit of the Company pursuant to this Agreement), anywhere in the United States directly or indirectly:</w:t>
      </w:r>
    </w:p>
    <w:p>
      <w:pPr>
        <w:spacing w:after="0" w:line="220" w:lineRule="exact"/>
        <w:rPr>
          <w:rFonts w:ascii="Times New Roman" w:cs="Times New Roman" w:eastAsia="Times New Roman" w:hAnsi="Times New Roman"/>
          <w:sz w:val="22"/>
          <w:szCs w:val="22"/>
          <w:b w:val="1"/>
          <w:bCs w:val="1"/>
          <w:color w:val="auto"/>
        </w:rPr>
      </w:pPr>
    </w:p>
    <w:p>
      <w:pPr>
        <w:jc w:val="both"/>
        <w:ind w:left="1780" w:firstLine="1488"/>
        <w:spacing w:after="0" w:line="233" w:lineRule="auto"/>
        <w:tabs>
          <w:tab w:leader="none" w:pos="3558" w:val="left"/>
        </w:tabs>
        <w:numPr>
          <w:ilvl w:val="3"/>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through the first anniversary of the Date of Termination, anywhere in the United States, engage in the business of researching, developing, designing, producing, manufacturing marketing or selling (or assisting any other person in researching, developing, designing, producing, manufacturing, marketing or selling) (i) DNA-based therapies involving the delivery of IL-12 for the treatment of cancer, (ii) chimeric antigen receptor T-cell (CAR+ T) or T-cell receptors T-cell TCR+ T (TCR) therapies for the treatment of cancer or (iii) other products or product candidates that are otherwise substantially similar to those that have been or are being developed, designed, produced, commercially marketed, sold or rendered by the Company, solely to the extent the Company has directly engaged in such business within the 12-month period prior to the Date of Termination (“</w:t>
      </w:r>
      <w:r>
        <w:rPr>
          <w:rFonts w:ascii="Times New Roman" w:cs="Times New Roman" w:eastAsia="Times New Roman" w:hAnsi="Times New Roman"/>
          <w:sz w:val="22"/>
          <w:szCs w:val="22"/>
          <w:b w:val="1"/>
          <w:bCs w:val="1"/>
          <w:i w:val="1"/>
          <w:iCs w:val="1"/>
          <w:color w:val="auto"/>
        </w:rPr>
        <w:t>Competing Business</w:t>
      </w:r>
      <w:r>
        <w:rPr>
          <w:rFonts w:ascii="Times New Roman" w:cs="Times New Roman" w:eastAsia="Times New Roman" w:hAnsi="Times New Roman"/>
          <w:sz w:val="22"/>
          <w:szCs w:val="22"/>
          <w:color w:val="auto"/>
        </w:rPr>
        <w:t>”) as an individual proprietor, partner, stockholder, officer, employee, director, joint venturer, investor, lender, consultant, or in any other capacity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239" w:lineRule="exact"/>
        <w:rPr>
          <w:sz w:val="20"/>
          <w:szCs w:val="20"/>
          <w:color w:val="auto"/>
        </w:rPr>
      </w:pPr>
    </w:p>
    <w:p>
      <w:pPr>
        <w:jc w:val="both"/>
        <w:ind w:left="1780" w:firstLine="1497"/>
        <w:spacing w:after="0" w:line="237" w:lineRule="auto"/>
        <w:rPr>
          <w:sz w:val="20"/>
          <w:szCs w:val="20"/>
          <w:color w:val="auto"/>
        </w:rPr>
      </w:pPr>
      <w:r>
        <w:rPr>
          <w:rFonts w:ascii="Times New Roman" w:cs="Times New Roman" w:eastAsia="Times New Roman" w:hAnsi="Times New Roman"/>
          <w:sz w:val="22"/>
          <w:szCs w:val="22"/>
          <w:color w:val="auto"/>
        </w:rPr>
        <w:t>(ii)from the date hereof through the first anniversary of the Date of Termination, solicit, divert, take away or do business with, or attempt to solicit, divert, take away or do business with, any of the clients, customers or accounts, or prospective clients, customers or accounts, or other business relation of the Company with whom Executive had direct business contact in dealings during the Employment Period in the course of her employment with the Company;</w:t>
      </w:r>
    </w:p>
    <w:p>
      <w:pPr>
        <w:spacing w:after="0" w:line="207" w:lineRule="exact"/>
        <w:rPr>
          <w:sz w:val="20"/>
          <w:szCs w:val="20"/>
          <w:color w:val="auto"/>
        </w:rPr>
      </w:pPr>
    </w:p>
    <w:p>
      <w:pPr>
        <w:jc w:val="both"/>
        <w:ind w:left="1780" w:firstLine="1497"/>
        <w:spacing w:after="0" w:line="237" w:lineRule="auto"/>
        <w:rPr>
          <w:sz w:val="20"/>
          <w:szCs w:val="20"/>
          <w:color w:val="auto"/>
        </w:rPr>
      </w:pPr>
      <w:r>
        <w:rPr>
          <w:rFonts w:ascii="Times New Roman" w:cs="Times New Roman" w:eastAsia="Times New Roman" w:hAnsi="Times New Roman"/>
          <w:sz w:val="22"/>
          <w:szCs w:val="22"/>
          <w:color w:val="auto"/>
        </w:rPr>
        <w:t>(iii)from the date hereof through the first anniversary of the Date of Termination, induce or attempt to induce any clients, customers or accounts, or prospective clients, customers or accounts, or other business relation of the Company to cease doing business with the Company or in any way interfere with the relationship between any such clients, customers or accounts, or prospective clients, customers or accounts, or other business relation; or</w:t>
      </w:r>
    </w:p>
    <w:p>
      <w:pPr>
        <w:spacing w:after="0" w:line="221" w:lineRule="exact"/>
        <w:rPr>
          <w:sz w:val="20"/>
          <w:szCs w:val="20"/>
          <w:color w:val="auto"/>
        </w:rPr>
      </w:pPr>
    </w:p>
    <w:p>
      <w:pPr>
        <w:jc w:val="both"/>
        <w:ind w:left="1780" w:firstLine="1497"/>
        <w:spacing w:after="0" w:line="236" w:lineRule="auto"/>
        <w:rPr>
          <w:sz w:val="20"/>
          <w:szCs w:val="20"/>
          <w:color w:val="auto"/>
        </w:rPr>
      </w:pPr>
      <w:r>
        <w:rPr>
          <w:rFonts w:ascii="Times New Roman" w:cs="Times New Roman" w:eastAsia="Times New Roman" w:hAnsi="Times New Roman"/>
          <w:sz w:val="22"/>
          <w:szCs w:val="22"/>
          <w:color w:val="auto"/>
        </w:rPr>
        <w:t>(iv)from the date hereof through the second anniversary of the Date of Termination, recruit, solicit, or hire any employee, contractor, or consultant of the Company (who was employed or engaged by the Company at any time during Executive’s employment with the Company), or induce or attempt to induce any such employee, contractor or consultant of the Company to terminate his/her employment or engagement with, or otherwise cease his/her relationship with, the Company, in each case, other than general solicitations not specifically directed at employees of the Company.</w:t>
      </w:r>
    </w:p>
    <w:p>
      <w:pPr>
        <w:spacing w:after="0" w:line="220" w:lineRule="exact"/>
        <w:rPr>
          <w:sz w:val="20"/>
          <w:szCs w:val="20"/>
          <w:color w:val="auto"/>
        </w:rPr>
      </w:pPr>
    </w:p>
    <w:p>
      <w:pPr>
        <w:jc w:val="both"/>
        <w:ind w:left="1020" w:firstLine="1499"/>
        <w:spacing w:after="0" w:line="259" w:lineRule="auto"/>
        <w:tabs>
          <w:tab w:leader="none" w:pos="3035"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restrictions of this Section 10, nothing in this Section 10 shall prohibit, restrict, or impede Executive from: (i) directly or indirectly, holding not more than one percent (1%) of the combined voting power of the outstanding stock of a publicly held company; (ii) exercising protected rights to the extent that such rights cannot be waived by agreement or from complying with any applicable law or regulation; or</w:t>
      </w:r>
    </w:p>
    <w:p>
      <w:pPr>
        <w:spacing w:after="0" w:line="2" w:lineRule="exact"/>
        <w:rPr>
          <w:rFonts w:ascii="Times New Roman" w:cs="Times New Roman" w:eastAsia="Times New Roman" w:hAnsi="Times New Roman"/>
          <w:sz w:val="20"/>
          <w:szCs w:val="20"/>
          <w:color w:val="auto"/>
        </w:rPr>
      </w:pPr>
    </w:p>
    <w:p>
      <w:pPr>
        <w:ind w:left="1400" w:hanging="378"/>
        <w:spacing w:after="0"/>
        <w:tabs>
          <w:tab w:leader="none" w:pos="14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the practice of law.</w:t>
      </w:r>
    </w:p>
    <w:p>
      <w:pPr>
        <w:spacing w:after="0" w:line="208" w:lineRule="exact"/>
        <w:rPr>
          <w:rFonts w:ascii="Times New Roman" w:cs="Times New Roman" w:eastAsia="Times New Roman" w:hAnsi="Times New Roman"/>
          <w:sz w:val="22"/>
          <w:szCs w:val="22"/>
          <w:color w:val="auto"/>
        </w:rPr>
      </w:pPr>
    </w:p>
    <w:p>
      <w:pPr>
        <w:jc w:val="both"/>
        <w:ind w:left="1020" w:firstLine="1499"/>
        <w:spacing w:after="0" w:line="235" w:lineRule="auto"/>
        <w:tabs>
          <w:tab w:leader="none" w:pos="303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each of the covenants of Section 10 are in addition to, and shall not be construed as a limitation upon, any other covenant provided in Section 10. Executive agrees that the geographic boundaries, scope of prohibited activities, and time duration of each of the covenants set forth in Section 10(a) are reasonable in nature and are no broader than are necessary to maintain the confidentiality and the goodwill of the Company’s proprietary and Confidential Information, plans and services and to protect the other legitimate business interests of the Company, including without limitation the goodwill developed by Executive with Company’s customers, suppliers, licensees and business relations.</w:t>
      </w:r>
    </w:p>
    <w:p>
      <w:pPr>
        <w:spacing w:after="0" w:line="221" w:lineRule="exact"/>
        <w:rPr>
          <w:rFonts w:ascii="Times New Roman" w:cs="Times New Roman" w:eastAsia="Times New Roman" w:hAnsi="Times New Roman"/>
          <w:sz w:val="22"/>
          <w:szCs w:val="22"/>
          <w:color w:val="auto"/>
        </w:rPr>
      </w:pPr>
    </w:p>
    <w:p>
      <w:pPr>
        <w:jc w:val="both"/>
        <w:ind w:left="1020" w:firstLine="1499"/>
        <w:spacing w:after="0" w:line="237" w:lineRule="auto"/>
        <w:tabs>
          <w:tab w:leader="none" w:pos="303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any portion of the non-competition and non-solicitation periods, Executive is not in compliance with the terms of Section 10, the Company shall be entitled to, among other remedies, compliance by Executive with the terms of Section 10 for an additional period of time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in addition to the non-competition and non-solicitation periods stated in Section 10(a)) that shall equal the period(s) over which such noncompliance occurred.</w:t>
      </w:r>
    </w:p>
    <w:p>
      <w:pPr>
        <w:spacing w:after="0" w:line="220" w:lineRule="exact"/>
        <w:rPr>
          <w:rFonts w:ascii="Times New Roman" w:cs="Times New Roman" w:eastAsia="Times New Roman" w:hAnsi="Times New Roman"/>
          <w:sz w:val="22"/>
          <w:szCs w:val="22"/>
          <w:color w:val="auto"/>
        </w:rPr>
      </w:pPr>
    </w:p>
    <w:p>
      <w:pPr>
        <w:jc w:val="both"/>
        <w:ind w:left="1020" w:firstLine="1499"/>
        <w:spacing w:after="0" w:line="237" w:lineRule="auto"/>
        <w:tabs>
          <w:tab w:leader="none" w:pos="303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the covenants contained in Section 10 be construed as a series of separate covenants. Except for geographic coverage, each such separate covenant shall be deemed identical in terms to the applicable covenant contained in Section 10. Furthermore, each of the covenants in Section 10 shall be deemed a separate and independent covenant, each being enforceable irrespective of the enforceability (with or without reformation) of the other covenants contained in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ind w:left="2520" w:hanging="750"/>
        <w:spacing w:after="0"/>
        <w:tabs>
          <w:tab w:leader="none" w:pos="25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22" w:lineRule="exact"/>
        <w:rPr>
          <w:sz w:val="20"/>
          <w:szCs w:val="20"/>
          <w:color w:val="auto"/>
        </w:rPr>
      </w:pPr>
    </w:p>
    <w:p>
      <w:pPr>
        <w:jc w:val="both"/>
        <w:ind w:left="1020" w:firstLine="749"/>
        <w:spacing w:after="0" w:line="237" w:lineRule="auto"/>
        <w:rPr>
          <w:sz w:val="20"/>
          <w:szCs w:val="20"/>
          <w:color w:val="auto"/>
        </w:rPr>
      </w:pPr>
      <w:r>
        <w:rPr>
          <w:rFonts w:ascii="Times New Roman" w:cs="Times New Roman" w:eastAsia="Times New Roman" w:hAnsi="Times New Roman"/>
          <w:sz w:val="22"/>
          <w:szCs w:val="22"/>
          <w:color w:val="auto"/>
        </w:rPr>
        <w:t>All notices and other communications required or permitted to be given hereunder shall be in writing and shall be deemed to have been duly given if delivered personally, mailed by certified mail (return receipt requested) or sent by overnight delivery service to the parties to Company at its principal executive offices in care of the General Counsel, and any notice to be given to the Executive shall be addressed to the Executive at the most recent address for the Executive shown in Company’s records.</w:t>
      </w:r>
    </w:p>
    <w:p>
      <w:pPr>
        <w:spacing w:after="0" w:line="207" w:lineRule="exact"/>
        <w:rPr>
          <w:sz w:val="20"/>
          <w:szCs w:val="20"/>
          <w:color w:val="auto"/>
        </w:rPr>
      </w:pPr>
    </w:p>
    <w:p>
      <w:pPr>
        <w:jc w:val="both"/>
        <w:ind w:left="1020" w:right="20"/>
        <w:spacing w:after="0" w:line="258" w:lineRule="auto"/>
        <w:rPr>
          <w:sz w:val="20"/>
          <w:szCs w:val="20"/>
          <w:color w:val="auto"/>
        </w:rPr>
      </w:pPr>
      <w:r>
        <w:rPr>
          <w:rFonts w:ascii="Times New Roman" w:cs="Times New Roman" w:eastAsia="Times New Roman" w:hAnsi="Times New Roman"/>
          <w:sz w:val="22"/>
          <w:szCs w:val="22"/>
          <w:color w:val="auto"/>
        </w:rPr>
        <w:t>Notice so given shall, in the case of mail, be deemed to be given and received on the fifth calendar day after posting, and in the case overnight delivery service, on the date of actual delivery.</w:t>
      </w:r>
    </w:p>
    <w:p>
      <w:pPr>
        <w:spacing w:after="0" w:line="194" w:lineRule="exact"/>
        <w:rPr>
          <w:sz w:val="20"/>
          <w:szCs w:val="20"/>
          <w:color w:val="auto"/>
        </w:rPr>
      </w:pPr>
    </w:p>
    <w:p>
      <w:pPr>
        <w:ind w:left="2520" w:hanging="750"/>
        <w:spacing w:after="0"/>
        <w:tabs>
          <w:tab w:leader="none" w:pos="25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 and Reformation.</w:t>
      </w:r>
    </w:p>
    <w:p>
      <w:pPr>
        <w:spacing w:after="0" w:line="250" w:lineRule="exact"/>
        <w:rPr>
          <w:sz w:val="20"/>
          <w:szCs w:val="20"/>
          <w:color w:val="auto"/>
        </w:rPr>
      </w:pPr>
    </w:p>
    <w:p>
      <w:pPr>
        <w:jc w:val="both"/>
        <w:ind w:left="1020" w:firstLine="749"/>
        <w:spacing w:after="0" w:line="235" w:lineRule="auto"/>
        <w:rPr>
          <w:sz w:val="20"/>
          <w:szCs w:val="20"/>
          <w:color w:val="auto"/>
        </w:rPr>
      </w:pPr>
      <w:r>
        <w:rPr>
          <w:rFonts w:ascii="Times New Roman" w:cs="Times New Roman" w:eastAsia="Times New Roman" w:hAnsi="Times New Roman"/>
          <w:sz w:val="22"/>
          <w:szCs w:val="22"/>
          <w:color w:val="auto"/>
        </w:rPr>
        <w:t>If any one or more of the terms, provisions, covenants or restrictions of this Agreement shall be determined by a court of competent jurisdiction to be invalid, void or unenforceable, the remainder of the terms, provisions, covenants and restrictions shall remain in full force and effect, and the invalid, void or unenforceable provisions shall be deemed severable. Moreover, if any one or more of the provisions contained in this Agreement shall for any reason be held to be excessively broad as to duration, geographical scope, activity or subject, it shall be reformed by limiting and reducing it to the minimum extent necessary, so as to be enforceable to the extent compatible with the applicable law as it shall then appear.</w:t>
      </w:r>
    </w:p>
    <w:p>
      <w:pPr>
        <w:spacing w:after="0" w:line="204" w:lineRule="exact"/>
        <w:rPr>
          <w:sz w:val="20"/>
          <w:szCs w:val="20"/>
          <w:color w:val="auto"/>
        </w:rPr>
      </w:pPr>
    </w:p>
    <w:p>
      <w:pPr>
        <w:ind w:left="2520" w:hanging="750"/>
        <w:spacing w:after="0"/>
        <w:tabs>
          <w:tab w:leader="none" w:pos="252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p>
    <w:p>
      <w:pPr>
        <w:spacing w:after="0" w:line="250" w:lineRule="exact"/>
        <w:rPr>
          <w:sz w:val="20"/>
          <w:szCs w:val="20"/>
          <w:color w:val="auto"/>
        </w:rPr>
      </w:pPr>
    </w:p>
    <w:p>
      <w:pPr>
        <w:jc w:val="both"/>
        <w:ind w:left="1020" w:firstLine="749"/>
        <w:spacing w:after="0" w:line="235"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heirs and legal representatives of Executive and the permitted assigns and successors of Company, but neither this Agreement nor any rights or obligations hereunder shall be assignable or otherwise subject to hypothecation by Executive without the express written consent of Company (except in the case of death by will or by operation of the laws of intestate succession) or by Company, except that Company may assign this Agreement to any successor (whether by merger, purchase or otherwise) to all or substantially all of the stock assets or businesses of Company, if such successor expressly agrees to assume the obligations of Company hereunder.</w:t>
      </w:r>
    </w:p>
    <w:p>
      <w:pPr>
        <w:spacing w:after="0" w:line="204" w:lineRule="exact"/>
        <w:rPr>
          <w:sz w:val="20"/>
          <w:szCs w:val="20"/>
          <w:color w:val="auto"/>
        </w:rPr>
      </w:pPr>
    </w:p>
    <w:p>
      <w:pPr>
        <w:ind w:left="2520" w:hanging="750"/>
        <w:spacing w:after="0"/>
        <w:tabs>
          <w:tab w:leader="none" w:pos="25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p>
    <w:p>
      <w:pPr>
        <w:spacing w:after="0" w:line="250" w:lineRule="exact"/>
        <w:rPr>
          <w:sz w:val="20"/>
          <w:szCs w:val="20"/>
          <w:color w:val="auto"/>
        </w:rPr>
      </w:pPr>
    </w:p>
    <w:p>
      <w:pPr>
        <w:ind w:left="1020" w:firstLine="749"/>
        <w:spacing w:after="0" w:line="258" w:lineRule="auto"/>
        <w:rPr>
          <w:sz w:val="20"/>
          <w:szCs w:val="20"/>
          <w:color w:val="auto"/>
        </w:rPr>
      </w:pPr>
      <w:r>
        <w:rPr>
          <w:rFonts w:ascii="Times New Roman" w:cs="Times New Roman" w:eastAsia="Times New Roman" w:hAnsi="Times New Roman"/>
          <w:sz w:val="22"/>
          <w:szCs w:val="22"/>
          <w:color w:val="auto"/>
        </w:rPr>
        <w:t>This Agreement may be amended only by writing signed by both Executive and by a duly authorized representative of Company (other than Executive).</w:t>
      </w:r>
    </w:p>
    <w:p>
      <w:pPr>
        <w:spacing w:after="0" w:line="194" w:lineRule="exact"/>
        <w:rPr>
          <w:sz w:val="20"/>
          <w:szCs w:val="20"/>
          <w:color w:val="auto"/>
        </w:rPr>
      </w:pPr>
    </w:p>
    <w:p>
      <w:pPr>
        <w:ind w:left="2520" w:hanging="750"/>
        <w:spacing w:after="0"/>
        <w:tabs>
          <w:tab w:leader="none" w:pos="25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Assistance in Litigation.</w:t>
      </w:r>
    </w:p>
    <w:p>
      <w:pPr>
        <w:spacing w:after="0" w:line="236" w:lineRule="exact"/>
        <w:rPr>
          <w:sz w:val="20"/>
          <w:szCs w:val="20"/>
          <w:color w:val="auto"/>
        </w:rPr>
      </w:pPr>
    </w:p>
    <w:p>
      <w:pPr>
        <w:jc w:val="both"/>
        <w:ind w:left="1020" w:firstLine="749"/>
        <w:spacing w:after="0" w:line="234" w:lineRule="auto"/>
        <w:rPr>
          <w:sz w:val="20"/>
          <w:szCs w:val="20"/>
          <w:color w:val="auto"/>
        </w:rPr>
      </w:pPr>
      <w:r>
        <w:rPr>
          <w:rFonts w:ascii="Times New Roman" w:cs="Times New Roman" w:eastAsia="Times New Roman" w:hAnsi="Times New Roman"/>
          <w:sz w:val="22"/>
          <w:szCs w:val="22"/>
          <w:color w:val="auto"/>
        </w:rPr>
        <w:t>Executive shall reasonably cooperate with the Company in the defense or prosecution of any claims or actions now in existence or that may be brought in the future against or on behalf of the Company that relate to events or occurrences that transpired while Executive was employed by the Company. Executive’s cooperation in connection with such claims or actions shall include, but not be limited to, being available to meet with counsel to prepare for discovery or trial and to act as a witness on behalf of the Company at mutually convenient times. Executive also shall cooperate fully with the Company in connection with any investigation or review by any Federal, state, or local regulatory authority as any such investigation or review relates, to events or occurrences that transpired while Executive was employed by the Company.</w:t>
      </w:r>
    </w:p>
    <w:p>
      <w:pPr>
        <w:spacing w:after="0" w:line="221" w:lineRule="exact"/>
        <w:rPr>
          <w:sz w:val="20"/>
          <w:szCs w:val="20"/>
          <w:color w:val="auto"/>
        </w:rPr>
      </w:pPr>
    </w:p>
    <w:p>
      <w:pPr>
        <w:ind w:left="2520" w:hanging="750"/>
        <w:spacing w:after="0"/>
        <w:tabs>
          <w:tab w:leader="none" w:pos="25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Beneficiaries;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239" w:lineRule="exact"/>
        <w:rPr>
          <w:sz w:val="20"/>
          <w:szCs w:val="20"/>
          <w:color w:val="auto"/>
        </w:rPr>
      </w:pPr>
    </w:p>
    <w:p>
      <w:pPr>
        <w:jc w:val="both"/>
        <w:ind w:left="1020" w:firstLine="749"/>
        <w:spacing w:after="0" w:line="236" w:lineRule="auto"/>
        <w:rPr>
          <w:sz w:val="20"/>
          <w:szCs w:val="20"/>
          <w:color w:val="auto"/>
        </w:rPr>
      </w:pPr>
      <w:r>
        <w:rPr>
          <w:rFonts w:ascii="Times New Roman" w:cs="Times New Roman" w:eastAsia="Times New Roman" w:hAnsi="Times New Roman"/>
          <w:sz w:val="22"/>
          <w:szCs w:val="22"/>
          <w:color w:val="auto"/>
        </w:rPr>
        <w:t>Executive shall be entitled to select (and change, to the extent permitted under any applicable law) a beneficiary or beneficiaries to receive any compensation or benefit payable hereunder following Executive’s death, and may change such election, in either case by giving the Company written notice thereof. In the event of Executive’s death or a judicial determination of her incompetence, reference in this Agreement to Executive shall be deemed, where appropriate, to refer to her beneficiary, estate or other legal representative. Any reference to the masculine gender in this Agreement shall include, where appropriate, the feminine.</w:t>
      </w:r>
    </w:p>
    <w:p>
      <w:pPr>
        <w:spacing w:after="0" w:line="202" w:lineRule="exact"/>
        <w:rPr>
          <w:sz w:val="20"/>
          <w:szCs w:val="20"/>
          <w:color w:val="auto"/>
        </w:rPr>
      </w:pPr>
    </w:p>
    <w:p>
      <w:pPr>
        <w:ind w:left="2520" w:hanging="750"/>
        <w:spacing w:after="0"/>
        <w:tabs>
          <w:tab w:leader="none" w:pos="25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Use of Name, Likeness and Biography and Announcements.</w:t>
      </w:r>
    </w:p>
    <w:p>
      <w:pPr>
        <w:spacing w:after="0" w:line="250" w:lineRule="exact"/>
        <w:rPr>
          <w:sz w:val="20"/>
          <w:szCs w:val="20"/>
          <w:color w:val="auto"/>
        </w:rPr>
      </w:pPr>
    </w:p>
    <w:p>
      <w:pPr>
        <w:jc w:val="both"/>
        <w:ind w:left="1020" w:firstLine="749"/>
        <w:spacing w:after="0" w:line="234" w:lineRule="auto"/>
        <w:rPr>
          <w:sz w:val="20"/>
          <w:szCs w:val="20"/>
          <w:color w:val="auto"/>
        </w:rPr>
      </w:pPr>
      <w:r>
        <w:rPr>
          <w:rFonts w:ascii="Times New Roman" w:cs="Times New Roman" w:eastAsia="Times New Roman" w:hAnsi="Times New Roman"/>
          <w:sz w:val="22"/>
          <w:szCs w:val="22"/>
          <w:color w:val="auto"/>
        </w:rPr>
        <w:t>The Company shall have the right to make public announcements concerning the execution of this Agreement and the terms contained herein, at the Company’s discretion. Likewise, the Company shall have the right (but not the obligation) to use, publish and broadcast, and to authorize others to do so, the name, approved likeness and approved biographical material of Executive to advertise, publicize and promote the business of the Company and its affiliates, but not for the purposes of direct endorsement without Executive’s consent. This right shall terminate upon the termination of this Agreement. An “approved likeness” and “approved biographical material” shall be, respectively, any photograph or other depiction of Executive, or any biographical information or life story concerning the professional career of Executive.</w:t>
      </w:r>
    </w:p>
    <w:p>
      <w:pPr>
        <w:spacing w:after="0" w:line="221" w:lineRule="exact"/>
        <w:rPr>
          <w:sz w:val="20"/>
          <w:szCs w:val="20"/>
          <w:color w:val="auto"/>
        </w:rPr>
      </w:pPr>
    </w:p>
    <w:p>
      <w:pPr>
        <w:ind w:left="2520" w:hanging="750"/>
        <w:spacing w:after="0"/>
        <w:tabs>
          <w:tab w:leader="none" w:pos="25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Venue.</w:t>
      </w:r>
    </w:p>
    <w:p>
      <w:pPr>
        <w:spacing w:after="0" w:line="236" w:lineRule="exact"/>
        <w:rPr>
          <w:sz w:val="20"/>
          <w:szCs w:val="20"/>
          <w:color w:val="auto"/>
        </w:rPr>
      </w:pPr>
    </w:p>
    <w:p>
      <w:pPr>
        <w:jc w:val="both"/>
        <w:ind w:left="1020" w:firstLine="749"/>
        <w:spacing w:after="0" w:line="234" w:lineRule="auto"/>
        <w:rPr>
          <w:sz w:val="20"/>
          <w:szCs w:val="20"/>
          <w:color w:val="auto"/>
        </w:rPr>
      </w:pPr>
      <w:r>
        <w:rPr>
          <w:rFonts w:ascii="Times New Roman" w:cs="Times New Roman" w:eastAsia="Times New Roman" w:hAnsi="Times New Roman"/>
          <w:sz w:val="22"/>
          <w:szCs w:val="22"/>
          <w:color w:val="auto"/>
        </w:rPr>
        <w:t>THIS AGREEMENT SHALL BE CONSTRUED, INTERPRETED AND GOVERNED IN ACCORDANCE WITH THE LAWS OF THE STATE OF TEXAS WITHOUT REFERENCE TO RULES RELATING TO CONFLICTS OF LAW. EXCEPT AS PROVIDED IN SECTION 29, ANY ACTION IN REGARD TO THIS AGREEMENT OR ARISING OUT OF ITS TERMS AND CONDITIONS SHALL BE LITIGATED AND/OR INSTITUTED ONLY IN HOUSTON, TEXAS. THE COMPANY AND EMPLOYEE HEREBY EXPRESSLY CONSENT TO THE PERSONAL JURISDICTION OF THE STATE AND FEDERAL COURTS LOCATED IN HOUSTON, TEXAS FOR ANY LAWSUIT FILED ARISING FROM OR RELATED TO THIS AGREEMENT.</w:t>
      </w:r>
    </w:p>
    <w:p>
      <w:pPr>
        <w:spacing w:after="0" w:line="221" w:lineRule="exact"/>
        <w:rPr>
          <w:sz w:val="20"/>
          <w:szCs w:val="20"/>
          <w:color w:val="auto"/>
        </w:rPr>
      </w:pPr>
    </w:p>
    <w:p>
      <w:pPr>
        <w:ind w:left="2520" w:hanging="750"/>
        <w:spacing w:after="0"/>
        <w:tabs>
          <w:tab w:leader="none" w:pos="25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p>
    <w:p>
      <w:pPr>
        <w:spacing w:after="0" w:line="250" w:lineRule="exact"/>
        <w:rPr>
          <w:sz w:val="20"/>
          <w:szCs w:val="20"/>
          <w:color w:val="auto"/>
        </w:rPr>
      </w:pPr>
    </w:p>
    <w:p>
      <w:pPr>
        <w:jc w:val="both"/>
        <w:ind w:left="1020" w:firstLine="749"/>
        <w:spacing w:after="0" w:line="244" w:lineRule="auto"/>
        <w:rPr>
          <w:sz w:val="20"/>
          <w:szCs w:val="20"/>
          <w:color w:val="auto"/>
        </w:rPr>
      </w:pPr>
      <w:r>
        <w:rPr>
          <w:rFonts w:ascii="Times New Roman" w:cs="Times New Roman" w:eastAsia="Times New Roman" w:hAnsi="Times New Roman"/>
          <w:sz w:val="22"/>
          <w:szCs w:val="22"/>
          <w:color w:val="auto"/>
        </w:rPr>
        <w:t>This Agreement contains the entire understanding between the parties hereto with respect to the subject matter hereof and supersedes in all respects any prior or other agreement or understanding, written or oral, between the Company or any affiliate of the Company and Executive with respect to such subject matter.</w:t>
      </w:r>
    </w:p>
    <w:p>
      <w:pPr>
        <w:spacing w:after="0" w:line="195" w:lineRule="exact"/>
        <w:rPr>
          <w:sz w:val="20"/>
          <w:szCs w:val="20"/>
          <w:color w:val="auto"/>
        </w:rPr>
      </w:pPr>
    </w:p>
    <w:p>
      <w:pPr>
        <w:ind w:left="2520" w:hanging="750"/>
        <w:spacing w:after="0"/>
        <w:tabs>
          <w:tab w:leader="none" w:pos="2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p>
    <w:p>
      <w:pPr>
        <w:spacing w:after="0" w:line="250" w:lineRule="exact"/>
        <w:rPr>
          <w:sz w:val="20"/>
          <w:szCs w:val="20"/>
          <w:color w:val="auto"/>
        </w:rPr>
      </w:pPr>
    </w:p>
    <w:p>
      <w:pPr>
        <w:ind w:left="1020" w:right="20" w:firstLine="749"/>
        <w:spacing w:after="0" w:line="258" w:lineRule="auto"/>
        <w:rPr>
          <w:sz w:val="20"/>
          <w:szCs w:val="20"/>
          <w:color w:val="auto"/>
        </w:rPr>
      </w:pPr>
      <w:r>
        <w:rPr>
          <w:rFonts w:ascii="Times New Roman" w:cs="Times New Roman" w:eastAsia="Times New Roman" w:hAnsi="Times New Roman"/>
          <w:sz w:val="22"/>
          <w:szCs w:val="22"/>
          <w:color w:val="auto"/>
        </w:rPr>
        <w:t>The Company shall be entitled to withhold from payment to Executive of any amount of withholding required by law.</w:t>
      </w:r>
    </w:p>
    <w:p>
      <w:pPr>
        <w:spacing w:after="0" w:line="194" w:lineRule="exact"/>
        <w:rPr>
          <w:sz w:val="20"/>
          <w:szCs w:val="20"/>
          <w:color w:val="auto"/>
        </w:rPr>
      </w:pPr>
    </w:p>
    <w:p>
      <w:pPr>
        <w:ind w:left="2520" w:hanging="750"/>
        <w:spacing w:after="0"/>
        <w:tabs>
          <w:tab w:leader="none" w:pos="2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p>
    <w:p>
      <w:pPr>
        <w:spacing w:after="0" w:line="2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will be deemed an original.</w:t>
      </w:r>
    </w:p>
    <w:p>
      <w:pPr>
        <w:spacing w:after="0" w:line="242" w:lineRule="exact"/>
        <w:rPr>
          <w:sz w:val="20"/>
          <w:szCs w:val="20"/>
          <w:color w:val="auto"/>
        </w:rPr>
      </w:pPr>
    </w:p>
    <w:p>
      <w:pPr>
        <w:ind w:left="2520" w:hanging="750"/>
        <w:spacing w:after="0"/>
        <w:tabs>
          <w:tab w:leader="none" w:pos="2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214630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6" w:right="45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jc w:val="both"/>
        <w:ind w:left="1020" w:firstLine="749"/>
        <w:spacing w:after="0" w:line="231" w:lineRule="auto"/>
        <w:rPr>
          <w:sz w:val="20"/>
          <w:szCs w:val="20"/>
          <w:color w:val="auto"/>
        </w:rPr>
      </w:pPr>
      <w:r>
        <w:rPr>
          <w:rFonts w:ascii="Times New Roman" w:cs="Times New Roman" w:eastAsia="Times New Roman" w:hAnsi="Times New Roman"/>
          <w:sz w:val="22"/>
          <w:szCs w:val="22"/>
          <w:color w:val="auto"/>
        </w:rPr>
        <w:t>The parties recognize and affirm that in the event of a breach of Sections 8 or 10 of this Agreement, money damages would be inadequate and Company would not have an adequate remedy at law. Accordingly, the parties agree that in the event of a breach or a threatened breach of Sections 8 or 10, Company may, in addition and supplementary to other rights and remedies existing in its favor, apply to any court of law or equity of competent jurisdiction for specific performance and/or injunctive or other relief in order to enforce or prevent any violations of the provisions hereof (without posting a bond or other security). In addition, Executive agrees that in the event a court of competent jurisdiction or an arbitrator finds that Executive violated Section 8 or 10, the time periods set forth in those Sections shall be tolled until such breach or violation has been cured. Executive further agrees that Company shall have the right to offset the amount of any damages resulting from a breach by Executive of Section 8 or 10 against any payments due Executive under this Agreement. The parties agree that if one of the parties is found to have breached this Agreement by a court of competent jurisdiction or arbitrator, the breaching party will be required to pay the non-breaching party’s attorneys’ fees reasonably incurred in prosecuting the non-breaching party’s claim of breach.</w:t>
      </w:r>
    </w:p>
    <w:p>
      <w:pPr>
        <w:spacing w:after="0" w:line="218" w:lineRule="exact"/>
        <w:rPr>
          <w:sz w:val="20"/>
          <w:szCs w:val="20"/>
          <w:color w:val="auto"/>
        </w:rPr>
      </w:pPr>
    </w:p>
    <w:p>
      <w:pPr>
        <w:jc w:val="both"/>
        <w:ind w:left="10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23.</w:t>
      </w:r>
      <w:r>
        <w:rPr>
          <w:rFonts w:ascii="Times New Roman" w:cs="Times New Roman" w:eastAsia="Times New Roman" w:hAnsi="Times New Roman"/>
          <w:sz w:val="22"/>
          <w:szCs w:val="22"/>
          <w:b w:val="1"/>
          <w:bCs w:val="1"/>
          <w:u w:val="single" w:color="auto"/>
          <w:color w:val="auto"/>
        </w:rPr>
        <w:t>Non-Waiver.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failure by either party to insist upon the performance of any one or more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or conditions of this Agreement shall not be construed as a waiver or relinquishment of any right granted hereunder or of any future performance of any such term, covenant or condition, and the obligation of either party with respect hereto shall continue in full force and effect, unless such waiver shall be in writing signed by Company (other than Executive) and Executive.</w:t>
      </w:r>
    </w:p>
    <w:p>
      <w:pPr>
        <w:spacing w:after="0" w:line="202" w:lineRule="exact"/>
        <w:rPr>
          <w:sz w:val="20"/>
          <w:szCs w:val="20"/>
          <w:color w:val="auto"/>
        </w:rPr>
      </w:pPr>
    </w:p>
    <w:p>
      <w:pPr>
        <w:ind w:left="2520" w:hanging="750"/>
        <w:spacing w:after="0"/>
        <w:tabs>
          <w:tab w:leader="none" w:pos="2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Construction.</w:t>
      </w:r>
    </w:p>
    <w:p>
      <w:pPr>
        <w:spacing w:after="0" w:line="250" w:lineRule="exact"/>
        <w:rPr>
          <w:sz w:val="20"/>
          <w:szCs w:val="20"/>
          <w:color w:val="auto"/>
        </w:rPr>
      </w:pPr>
    </w:p>
    <w:p>
      <w:pPr>
        <w:jc w:val="both"/>
        <w:ind w:left="1020" w:firstLine="749"/>
        <w:spacing w:after="0" w:line="244" w:lineRule="auto"/>
        <w:rPr>
          <w:sz w:val="20"/>
          <w:szCs w:val="20"/>
          <w:color w:val="auto"/>
        </w:rPr>
      </w:pPr>
      <w:r>
        <w:rPr>
          <w:rFonts w:ascii="Times New Roman" w:cs="Times New Roman" w:eastAsia="Times New Roman" w:hAnsi="Times New Roman"/>
          <w:sz w:val="22"/>
          <w:szCs w:val="22"/>
          <w:color w:val="auto"/>
        </w:rPr>
        <w:t>The headings and captions of this Agreement are provided for convenience only and are intended to have no effect in construing or interpreting this Agreement. The language in all parts of this Agreement shall be in all cases construed in accordance to its fair meaning and not strictly for or against the Company or Executive.</w:t>
      </w:r>
    </w:p>
    <w:p>
      <w:pPr>
        <w:spacing w:after="0" w:line="209" w:lineRule="exact"/>
        <w:rPr>
          <w:sz w:val="20"/>
          <w:szCs w:val="20"/>
          <w:color w:val="auto"/>
        </w:rPr>
      </w:pPr>
    </w:p>
    <w:p>
      <w:pPr>
        <w:ind w:left="2520" w:hanging="750"/>
        <w:spacing w:after="0"/>
        <w:tabs>
          <w:tab w:leader="none" w:pos="252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 to Insure.</w:t>
      </w:r>
    </w:p>
    <w:p>
      <w:pPr>
        <w:spacing w:after="0" w:line="236" w:lineRule="exact"/>
        <w:rPr>
          <w:sz w:val="20"/>
          <w:szCs w:val="20"/>
          <w:color w:val="auto"/>
        </w:rPr>
      </w:pPr>
    </w:p>
    <w:p>
      <w:pPr>
        <w:jc w:val="both"/>
        <w:ind w:left="1020" w:firstLine="749"/>
        <w:spacing w:after="0" w:line="237" w:lineRule="auto"/>
        <w:rPr>
          <w:sz w:val="20"/>
          <w:szCs w:val="20"/>
          <w:color w:val="auto"/>
        </w:rPr>
      </w:pPr>
      <w:r>
        <w:rPr>
          <w:rFonts w:ascii="Times New Roman" w:cs="Times New Roman" w:eastAsia="Times New Roman" w:hAnsi="Times New Roman"/>
          <w:sz w:val="22"/>
          <w:szCs w:val="22"/>
          <w:color w:val="auto"/>
        </w:rPr>
        <w:t>The Company shall have the right to secure, in its own name or otherwise, and at its own expense, life, health, accident or other insurance covering Executive, and Executive shall have no right, title or interest in and to such insurance. Executive shall assist the Company in procuring such insurance by submitting to examinations and by signing such applications and other instruments as may be required by the insurance carriers to which application is made for any such insurance.</w:t>
      </w:r>
    </w:p>
    <w:p>
      <w:pPr>
        <w:spacing w:after="0" w:line="217" w:lineRule="exact"/>
        <w:rPr>
          <w:sz w:val="20"/>
          <w:szCs w:val="20"/>
          <w:color w:val="auto"/>
        </w:rPr>
      </w:pPr>
    </w:p>
    <w:p>
      <w:pPr>
        <w:ind w:left="2520" w:hanging="750"/>
        <w:spacing w:after="0"/>
        <w:tabs>
          <w:tab w:leader="none" w:pos="25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Inconsistent Obligations.</w:t>
      </w:r>
    </w:p>
    <w:p>
      <w:pPr>
        <w:spacing w:after="0" w:line="250" w:lineRule="exact"/>
        <w:rPr>
          <w:sz w:val="20"/>
          <w:szCs w:val="20"/>
          <w:color w:val="auto"/>
        </w:rPr>
      </w:pPr>
    </w:p>
    <w:p>
      <w:pPr>
        <w:jc w:val="both"/>
        <w:ind w:left="1020" w:firstLine="749"/>
        <w:spacing w:after="0" w:line="236" w:lineRule="auto"/>
        <w:rPr>
          <w:sz w:val="20"/>
          <w:szCs w:val="20"/>
          <w:color w:val="auto"/>
        </w:rPr>
      </w:pPr>
      <w:r>
        <w:rPr>
          <w:rFonts w:ascii="Times New Roman" w:cs="Times New Roman" w:eastAsia="Times New Roman" w:hAnsi="Times New Roman"/>
          <w:sz w:val="22"/>
          <w:szCs w:val="22"/>
          <w:color w:val="auto"/>
        </w:rPr>
        <w:t>Executive represents and warrants that to her knowledge she has no obligations, legal, in contract, or otherwise, inconsistent with the terms of this Agreement or with her undertaking employment with the Company to perform the duties described herein. Executive will not disclose to the Company, or use, or induce the Company to use, any confidential, proprietary, or trade secret information of others. Executive represents and warrants that to her knowledge she has returned all property and confidential information belonging to all prior employers, if she is obligated to do so.</w:t>
      </w:r>
    </w:p>
    <w:p>
      <w:pPr>
        <w:spacing w:after="0" w:line="175" w:lineRule="exact"/>
        <w:rPr>
          <w:sz w:val="20"/>
          <w:szCs w:val="20"/>
          <w:color w:val="auto"/>
        </w:rPr>
      </w:pPr>
    </w:p>
    <w:p>
      <w:pPr>
        <w:ind w:left="2520" w:hanging="750"/>
        <w:spacing w:after="0"/>
        <w:tabs>
          <w:tab w:leader="none" w:pos="252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Binding Agreement.</w:t>
      </w:r>
    </w:p>
    <w:p>
      <w:pPr>
        <w:spacing w:after="0" w:line="2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This Agreement shall inure to the benefit of and be binding upon Executive, her heirs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personal representatives, and the Company, its successors and assigns.</w:t>
      </w:r>
    </w:p>
    <w:p>
      <w:pPr>
        <w:spacing w:after="0" w:line="218" w:lineRule="exact"/>
        <w:rPr>
          <w:sz w:val="20"/>
          <w:szCs w:val="20"/>
          <w:color w:val="auto"/>
        </w:rPr>
      </w:pPr>
    </w:p>
    <w:p>
      <w:pPr>
        <w:ind w:left="2520" w:hanging="750"/>
        <w:spacing w:after="0"/>
        <w:tabs>
          <w:tab w:leader="none" w:pos="25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Voluntary Agreement.</w:t>
      </w:r>
    </w:p>
    <w:p>
      <w:pPr>
        <w:spacing w:after="0" w:line="236" w:lineRule="exact"/>
        <w:rPr>
          <w:sz w:val="20"/>
          <w:szCs w:val="20"/>
          <w:color w:val="auto"/>
        </w:rPr>
      </w:pPr>
    </w:p>
    <w:p>
      <w:pPr>
        <w:jc w:val="both"/>
        <w:ind w:left="1020" w:firstLine="749"/>
        <w:spacing w:after="0" w:line="233" w:lineRule="auto"/>
        <w:rPr>
          <w:sz w:val="20"/>
          <w:szCs w:val="20"/>
          <w:color w:val="auto"/>
        </w:rPr>
      </w:pPr>
      <w:r>
        <w:rPr>
          <w:rFonts w:ascii="Times New Roman" w:cs="Times New Roman" w:eastAsia="Times New Roman" w:hAnsi="Times New Roman"/>
          <w:sz w:val="22"/>
          <w:szCs w:val="22"/>
          <w:color w:val="auto"/>
        </w:rPr>
        <w:t>Each party to this Agreement has read and fully understands the terms and provisions hereof, has had an opportunity to review this Agreement with legal counsel, has executed this Agreement based upon such party’s own judgment and advice of counsel (if any), and knowingly, voluntarily, and without duress, agrees to all of the terms set forth in this Agreement.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authorship of any provision of this Agreement. Except as expressly set forth in this Agreement, neither the parties nor their affiliates, advisors and/or their attorneys have made any representation or warranty, express or implied, at law or in equity with respect of the subject matter contained herein. Without limiting the generality of the previous sentence, the Companies, their affiliates, advisors, and/or attorneys have made no representation or warranty to Executive concerning the state or Federal tax consequences to Executive regarding the transactions contemplated by this Agreement.</w:t>
      </w:r>
    </w:p>
    <w:p>
      <w:pPr>
        <w:spacing w:after="0" w:line="218" w:lineRule="exact"/>
        <w:rPr>
          <w:sz w:val="20"/>
          <w:szCs w:val="20"/>
          <w:color w:val="auto"/>
        </w:rPr>
      </w:pPr>
    </w:p>
    <w:p>
      <w:pPr>
        <w:ind w:left="2520" w:hanging="750"/>
        <w:spacing w:after="0"/>
        <w:tabs>
          <w:tab w:leader="none" w:pos="25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p>
    <w:p>
      <w:pPr>
        <w:spacing w:after="0" w:line="250" w:lineRule="exact"/>
        <w:rPr>
          <w:sz w:val="20"/>
          <w:szCs w:val="20"/>
          <w:color w:val="auto"/>
        </w:rPr>
      </w:pPr>
    </w:p>
    <w:p>
      <w:pPr>
        <w:jc w:val="both"/>
        <w:ind w:left="1020" w:firstLine="749"/>
        <w:spacing w:after="0" w:line="234" w:lineRule="auto"/>
        <w:rPr>
          <w:sz w:val="20"/>
          <w:szCs w:val="20"/>
          <w:color w:val="auto"/>
        </w:rPr>
      </w:pPr>
      <w:r>
        <w:rPr>
          <w:rFonts w:ascii="Times New Roman" w:cs="Times New Roman" w:eastAsia="Times New Roman" w:hAnsi="Times New Roman"/>
          <w:sz w:val="22"/>
          <w:szCs w:val="22"/>
          <w:color w:val="auto"/>
        </w:rPr>
        <w:t>(a)In the event that the Parties are unable to resolve any controversy or claim arising out of or in connection with this Agreement or breach thereof, any Party may refer the dispute to binding arbitration, which, except as expressly provided hereafter, will be the exclusive forum for resolving such claims. Such arbitration will be administered by the American Arbitration Association (the “AAA”) and governed by Texas law. The arbitration will be conducted by a single arbitrator selected by Employee and the Company according to the rules of the AAA. In the event that the Parties fail to agree on the selection of the arbitrator within 30 days after either the Employee’s or the Company’s request for arbitration, the arbitrator will be chosen by the AAA. The arbitration proceeding will commence on a mutually agreeable date within 90 days after the request for arbitration. The forum for the arbitration will be agreed on by the Parties, or in the absence of any agreement, will be in a venue located in Houston, Texas.</w:t>
      </w:r>
    </w:p>
    <w:p>
      <w:pPr>
        <w:spacing w:after="0" w:line="2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(b)The arbitrator will have authority to award attorneys’ fees and costs to any Party.</w:t>
      </w:r>
    </w:p>
    <w:p>
      <w:pPr>
        <w:spacing w:after="0" w:line="246" w:lineRule="exact"/>
        <w:rPr>
          <w:sz w:val="20"/>
          <w:szCs w:val="20"/>
          <w:color w:val="auto"/>
        </w:rPr>
      </w:pPr>
    </w:p>
    <w:p>
      <w:pPr>
        <w:jc w:val="both"/>
        <w:ind w:left="1020" w:firstLine="749"/>
        <w:spacing w:after="0" w:line="280" w:lineRule="auto"/>
        <w:rPr>
          <w:sz w:val="20"/>
          <w:szCs w:val="20"/>
          <w:color w:val="auto"/>
        </w:rPr>
      </w:pPr>
      <w:r>
        <w:rPr>
          <w:rFonts w:ascii="Times New Roman" w:cs="Times New Roman" w:eastAsia="Times New Roman" w:hAnsi="Times New Roman"/>
          <w:sz w:val="20"/>
          <w:szCs w:val="20"/>
          <w:color w:val="auto"/>
        </w:rPr>
        <w:t>(c)The arbitrator will have no power or authority to make awards or orders granting relief that would ne be available to a Party in a court of law. The arbitrator’s award is limited by and must comply with this Agreement and applicable federal, state, and local laws. The decision of the arbitrator will be final and binding on the Parties.</w:t>
      </w:r>
    </w:p>
    <w:p>
      <w:pPr>
        <w:spacing w:after="0" w:line="166" w:lineRule="exact"/>
        <w:rPr>
          <w:sz w:val="20"/>
          <w:szCs w:val="20"/>
          <w:color w:val="auto"/>
        </w:rPr>
      </w:pPr>
    </w:p>
    <w:p>
      <w:pPr>
        <w:jc w:val="both"/>
        <w:ind w:left="1020" w:firstLine="749"/>
        <w:spacing w:after="0" w:line="244" w:lineRule="auto"/>
        <w:rPr>
          <w:sz w:val="20"/>
          <w:szCs w:val="20"/>
          <w:color w:val="auto"/>
        </w:rPr>
      </w:pPr>
      <w:r>
        <w:rPr>
          <w:rFonts w:ascii="Times New Roman" w:cs="Times New Roman" w:eastAsia="Times New Roman" w:hAnsi="Times New Roman"/>
          <w:sz w:val="22"/>
          <w:szCs w:val="22"/>
          <w:color w:val="auto"/>
        </w:rPr>
        <w:t>(d)Notwithstanding the foregoing, no claim or controversy for injunctive or equitable relief contemplated by or allowed under applicable law pursuant to Section 10 will be subject to arbitration, but will instead be subject to determination as provided in Sections 18.</w:t>
      </w:r>
    </w:p>
    <w:p>
      <w:pPr>
        <w:spacing w:after="0" w:line="195" w:lineRule="exact"/>
        <w:rPr>
          <w:sz w:val="20"/>
          <w:szCs w:val="20"/>
          <w:color w:val="auto"/>
        </w:rPr>
      </w:pPr>
    </w:p>
    <w:p>
      <w:pPr>
        <w:ind w:left="2520" w:hanging="750"/>
        <w:spacing w:after="0"/>
        <w:tabs>
          <w:tab w:leader="none" w:pos="252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p>
    <w:p>
      <w:pPr>
        <w:spacing w:after="0" w:line="236" w:lineRule="exact"/>
        <w:rPr>
          <w:sz w:val="20"/>
          <w:szCs w:val="20"/>
          <w:color w:val="auto"/>
        </w:rPr>
      </w:pPr>
    </w:p>
    <w:p>
      <w:pPr>
        <w:jc w:val="both"/>
        <w:ind w:left="1020" w:firstLine="749"/>
        <w:spacing w:after="0" w:line="236" w:lineRule="auto"/>
        <w:rPr>
          <w:sz w:val="20"/>
          <w:szCs w:val="20"/>
          <w:color w:val="auto"/>
        </w:rPr>
      </w:pPr>
      <w:r>
        <w:rPr>
          <w:rFonts w:ascii="Times New Roman" w:cs="Times New Roman" w:eastAsia="Times New Roman" w:hAnsi="Times New Roman"/>
          <w:sz w:val="22"/>
          <w:szCs w:val="22"/>
          <w:color w:val="auto"/>
        </w:rPr>
        <w:t>This Agreement is intended to comply with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Treasury regulations and other interpretive guidance issued thereunder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to be treated as exempt therefrom, and shall be construed and administered in accordance with such intent. Any payments under this Agreement that may be excluded from Section 409A either as separation pay due to an involuntary separation from service, as a short-term deferral, or as any other compensation that is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DocuSign Envelope ID: 637BFF13-DD33-4BFF-8800-2B3B64E90BD5</w:t>
      </w:r>
    </w:p>
    <w:p>
      <w:pPr>
        <w:spacing w:after="0" w:line="7" w:lineRule="exact"/>
        <w:rPr>
          <w:sz w:val="20"/>
          <w:szCs w:val="20"/>
          <w:color w:val="auto"/>
        </w:rPr>
      </w:pPr>
    </w:p>
    <w:p>
      <w:pPr>
        <w:jc w:val="both"/>
        <w:ind w:left="1020"/>
        <w:spacing w:after="0" w:line="231" w:lineRule="auto"/>
        <w:rPr>
          <w:sz w:val="20"/>
          <w:szCs w:val="20"/>
          <w:color w:val="auto"/>
        </w:rPr>
      </w:pPr>
      <w:r>
        <w:rPr>
          <w:rFonts w:ascii="Times New Roman" w:cs="Times New Roman" w:eastAsia="Times New Roman" w:hAnsi="Times New Roman"/>
          <w:sz w:val="22"/>
          <w:szCs w:val="22"/>
          <w:color w:val="auto"/>
        </w:rPr>
        <w:t>exempt from Section 409A shall be excluded from Section 409A to the maximum extent possible. Any payments to be made under this Agreement upon a termination of Executive’s employment that are subject to Section 409A and are intended to be paid only upon a termination of employment shall only be made if such termination of employment constitutes a “separation from service” under Section 409A.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Date of Termination of Executive’s employment hereunder (such date, the “</w:t>
      </w:r>
      <w:r>
        <w:rPr>
          <w:rFonts w:ascii="Times New Roman" w:cs="Times New Roman" w:eastAsia="Times New Roman" w:hAnsi="Times New Roman"/>
          <w:sz w:val="22"/>
          <w:szCs w:val="22"/>
          <w:b w:val="1"/>
          <w:bCs w:val="1"/>
          <w:i w:val="1"/>
          <w:iCs w:val="1"/>
          <w:color w:val="auto"/>
        </w:rPr>
        <w:t>Section 409A Payment Date</w:t>
      </w:r>
      <w:r>
        <w:rPr>
          <w:rFonts w:ascii="Times New Roman" w:cs="Times New Roman" w:eastAsia="Times New Roman" w:hAnsi="Times New Roman"/>
          <w:sz w:val="22"/>
          <w:szCs w:val="22"/>
          <w:color w:val="auto"/>
        </w:rPr>
        <w:t>”), then such payment or benefit shall not be provided to Executive (or Executive’s estate, if applicable) until the Section 409A Payment Date. Any such payment shall be immediately deposited in a segregated account pending its distribution to Executive on the Section 409A Payment Date. Each payment under this Agreement is intended to be a “separate payment” and not one of a series of payments for purposes of Section 409A. Notwithstanding the foregoing, the Company does not guarantee any particular tax effect, and Executive shall be solely responsible and liable for the satisfaction of all taxes, penalties and interest that may be imposed on or for the account of Executive in connection with the Agreement (including any taxes, penalties and interest under Section 409A), and neither the Company, nor any of its affiliates, shall have any obligation to indemnify or otherwise hold Executive (or any beneficiary) harmless from any or all of such taxes, penalties or interest.</w:t>
      </w:r>
    </w:p>
    <w:p>
      <w:pPr>
        <w:spacing w:after="0" w:line="1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 effective as of the Effective Date.</w:t>
      </w: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COMPANY, ZIOPHARM ONCOLOGY:</w:t>
      </w:r>
    </w:p>
    <w:p>
      <w:pPr>
        <w:spacing w:after="0" w:line="200" w:lineRule="exact"/>
        <w:rPr>
          <w:sz w:val="20"/>
          <w:szCs w:val="20"/>
          <w:color w:val="auto"/>
        </w:rPr>
      </w:pPr>
    </w:p>
    <w:p>
      <w:pPr>
        <w:spacing w:after="0" w:line="2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u w:val="single" w:color="auto"/>
          <w:color w:val="auto"/>
        </w:rPr>
        <w:t>/s/ Kevin S. Boyle, Sr.</w:t>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By: Kevin S. Boyle, Sr. Title: Chief</w:t>
      </w:r>
    </w:p>
    <w:p>
      <w:pPr>
        <w:ind w:left="102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u w:val="single" w:color="auto"/>
          <w:color w:val="auto"/>
        </w:rPr>
        <w:t>/s/ Melinda K. Lackey</w:t>
      </w:r>
    </w:p>
    <w:p>
      <w:pPr>
        <w:spacing w:after="0" w:line="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Melinda K. Lackey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87" w:right="4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Boyle, Sr., certify that:</w:t>
      </w:r>
    </w:p>
    <w:p>
      <w:pPr>
        <w:spacing w:after="0" w:line="27" w:lineRule="exact"/>
        <w:rPr>
          <w:sz w:val="20"/>
          <w:szCs w:val="20"/>
          <w:color w:val="auto"/>
        </w:rPr>
      </w:pPr>
    </w:p>
    <w:p>
      <w:pPr>
        <w:ind w:left="760" w:hanging="752"/>
        <w:spacing w:after="0"/>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Alaunos Therapeutics, Inc.;</w:t>
      </w:r>
    </w:p>
    <w:p>
      <w:pPr>
        <w:spacing w:after="0" w:line="8" w:lineRule="exact"/>
        <w:rPr>
          <w:rFonts w:ascii="Times New Roman" w:cs="Times New Roman" w:eastAsia="Times New Roman" w:hAnsi="Times New Roman"/>
          <w:sz w:val="18"/>
          <w:szCs w:val="18"/>
          <w:color w:val="auto"/>
        </w:rPr>
      </w:pPr>
    </w:p>
    <w:p>
      <w:pPr>
        <w:jc w:val="both"/>
        <w:ind w:left="760" w:right="20" w:hanging="752"/>
        <w:spacing w:after="0" w:line="250"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60" w:hanging="752"/>
        <w:spacing w:after="0" w:line="250"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752"/>
        <w:spacing w:after="0" w:line="250" w:lineRule="auto"/>
        <w:tabs>
          <w:tab w:leader="none" w:pos="7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60" w:hanging="743"/>
        <w:spacing w:after="0" w:line="250" w:lineRule="auto"/>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500" w:right="220" w:hanging="743"/>
        <w:spacing w:after="0" w:line="250" w:lineRule="auto"/>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right="20" w:hanging="743"/>
        <w:spacing w:after="0" w:line="264" w:lineRule="auto"/>
        <w:tabs>
          <w:tab w:leader="none" w:pos="1500"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500" w:right="20" w:hanging="743"/>
        <w:spacing w:after="0" w:line="250" w:lineRule="auto"/>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80" w:hanging="752"/>
        <w:spacing w:after="0" w:line="264" w:lineRule="auto"/>
        <w:tabs>
          <w:tab w:leader="none" w:pos="7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7"/>
          <w:szCs w:val="17"/>
          <w:color w:val="auto"/>
        </w:rPr>
      </w:pPr>
    </w:p>
    <w:p>
      <w:pPr>
        <w:ind w:left="1500" w:right="260" w:hanging="743"/>
        <w:spacing w:after="0" w:line="250" w:lineRule="auto"/>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60" w:lineRule="auto"/>
        <w:tabs>
          <w:tab w:leader="none" w:pos="150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Kevin S. Boyle, Sr.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of Alaunos Therapeutics, Inc. (the “Company”) on Form 10-Q for the period ended March 31, 2023,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spacing w:after="0" w:line="1" w:lineRule="exact"/>
        <w:rPr>
          <w:sz w:val="20"/>
          <w:szCs w:val="20"/>
          <w:color w:val="auto"/>
        </w:rPr>
      </w:pPr>
    </w:p>
    <w:p>
      <w:pPr>
        <w:ind w:left="760" w:hanging="378"/>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690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1."/>
      <w:numFmt w:val="decimal"/>
      <w:start w:val="2"/>
    </w:lvl>
  </w:abstractNum>
  <w:abstractNum w:abstractNumId="6">
    <w:nsid w:val="61574095"/>
    <w:multiLevelType w:val="hybridMultilevel"/>
    <w:lvl w:ilvl="0">
      <w:lvlJc w:val="left"/>
      <w:lvlText w:val="%1."/>
      <w:numFmt w:val="decimal"/>
      <w:start w:val="3"/>
    </w:lvl>
  </w:abstractNum>
  <w:abstractNum w:abstractNumId="7">
    <w:nsid w:val="7E0C57B1"/>
    <w:multiLevelType w:val="hybridMultilevel"/>
    <w:lvl w:ilvl="0">
      <w:lvlJc w:val="left"/>
      <w:lvlText w:val="%1."/>
      <w:numFmt w:val="decimal"/>
      <w:start w:val="4"/>
    </w:lvl>
  </w:abstractNum>
  <w:abstractNum w:abstractNumId="8">
    <w:nsid w:val="77AE35EB"/>
    <w:multiLevelType w:val="hybridMultilevel"/>
    <w:lvl w:ilvl="0">
      <w:lvlJc w:val="left"/>
      <w:lvlText w:val="%1."/>
      <w:numFmt w:val="decimal"/>
      <w:start w:val="5"/>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1."/>
      <w:numFmt w:val="decimal"/>
      <w:start w:val="6"/>
    </w:lvl>
  </w:abstractNum>
  <w:abstractNum w:abstractNumId="11">
    <w:nsid w:val="5FF87E05"/>
    <w:multiLevelType w:val="hybridMultilevel"/>
    <w:lvl w:ilvl="0">
      <w:lvlJc w:val="left"/>
      <w:lvlText w:val="%1."/>
      <w:numFmt w:val="decimal"/>
      <w:start w:val="7"/>
    </w:lvl>
  </w:abstractNum>
  <w:abstractNum w:abstractNumId="12">
    <w:nsid w:val="2F305DEF"/>
    <w:multiLevelType w:val="hybridMultilevel"/>
    <w:lvl w:ilvl="0">
      <w:lvlJc w:val="left"/>
      <w:lvlText w:val="%1."/>
      <w:numFmt w:val="decimal"/>
      <w:start w:val="8"/>
    </w:lvl>
  </w:abstractNum>
  <w:abstractNum w:abstractNumId="13">
    <w:nsid w:val="25A70BF7"/>
    <w:multiLevelType w:val="hybridMultilevel"/>
    <w:lvl w:ilvl="0">
      <w:lvlJc w:val="left"/>
      <w:lvlText w:val="%1."/>
      <w:numFmt w:val="decimal"/>
      <w:start w:val="9"/>
    </w:lvl>
  </w:abstractNum>
  <w:abstractNum w:abstractNumId="14">
    <w:nsid w:val="1DBABF00"/>
    <w:multiLevelType w:val="hybridMultilevel"/>
    <w:lvl w:ilvl="0">
      <w:lvlJc w:val="left"/>
      <w:lvlText w:val="%1."/>
      <w:numFmt w:val="decimal"/>
      <w:start w:val="10"/>
    </w:lvl>
  </w:abstractNum>
  <w:abstractNum w:abstractNumId="15">
    <w:nsid w:val="4AD084E9"/>
    <w:multiLevelType w:val="hybridMultilevel"/>
    <w:lvl w:ilvl="0">
      <w:lvlJc w:val="left"/>
      <w:lvlText w:val="%1."/>
      <w:numFmt w:val="decimal"/>
      <w:start w:val="11"/>
    </w:lvl>
  </w:abstractNum>
  <w:abstractNum w:abstractNumId="16">
    <w:nsid w:val="1F48EAA1"/>
    <w:multiLevelType w:val="hybridMultilevel"/>
    <w:lvl w:ilvl="0">
      <w:lvlJc w:val="left"/>
      <w:lvlText w:val="%1."/>
      <w:numFmt w:val="decimal"/>
      <w:start w:val="12"/>
    </w:lvl>
  </w:abstractNum>
  <w:abstractNum w:abstractNumId="17">
    <w:nsid w:val="1381823A"/>
    <w:multiLevelType w:val="hybridMultilevel"/>
    <w:lvl w:ilvl="0">
      <w:lvlJc w:val="left"/>
      <w:lvlText w:val="%1."/>
      <w:numFmt w:val="decimal"/>
      <w:start w:val="13"/>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1)"/>
      <w:numFmt w:val="lowerLetter"/>
      <w:start w:val="2"/>
    </w:lvl>
  </w:abstractNum>
  <w:abstractNum w:abstractNumId="44">
    <w:nsid w:val="60B6DF70"/>
    <w:multiLevelType w:val="hybridMultilevel"/>
    <w:lvl w:ilvl="0">
      <w:lvlJc w:val="left"/>
      <w:lvlText w:val="(%1)"/>
      <w:numFmt w:val="lowerRoman"/>
      <w:start w:val="2"/>
    </w:lvl>
  </w:abstractNum>
  <w:abstractNum w:abstractNumId="45">
    <w:nsid w:val="6A5EE64"/>
    <w:multiLevelType w:val="hybridMultilevel"/>
    <w:lvl w:ilvl="0">
      <w:lvlJc w:val="left"/>
      <w:lvlText w:val="(%1)"/>
      <w:numFmt w:val="lowerLetter"/>
      <w:start w:val="1"/>
    </w:lvl>
    <w:lvl w:ilvl="1">
      <w:lvlJc w:val="left"/>
      <w:lvlText w:val="(%2)"/>
      <w:numFmt w:val="lowerRoman"/>
      <w:start w:val="1"/>
    </w:lvl>
  </w:abstractNum>
  <w:abstractNum w:abstractNumId="46">
    <w:nsid w:val="14330624"/>
    <w:multiLevelType w:val="hybridMultilevel"/>
    <w:lvl w:ilvl="0">
      <w:lvlJc w:val="left"/>
      <w:lvlText w:val="(%1)"/>
      <w:numFmt w:val="lowerRoman"/>
      <w:start w:val="5"/>
    </w:lvl>
  </w:abstractNum>
  <w:abstractNum w:abstractNumId="47">
    <w:nsid w:val="7FFFCA11"/>
    <w:multiLevelType w:val="hybridMultilevel"/>
    <w:lvl w:ilvl="0">
      <w:lvlJc w:val="left"/>
      <w:lvlText w:val="(%1)"/>
      <w:numFmt w:val="lowerLetter"/>
      <w:start w:val="5"/>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lowerLetter"/>
      <w:start w:val="2"/>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1"/>
    </w:lvl>
    <w:lvl w:ilvl="1">
      <w:lvlJc w:val="left"/>
      <w:lvlText w:val="(%2)"/>
      <w:numFmt w:val="lowerLetter"/>
      <w:start w:val="1"/>
    </w:lvl>
  </w:abstractNum>
  <w:abstractNum w:abstractNumId="54">
    <w:nsid w:val="94211F2"/>
    <w:multiLevelType w:val="hybridMultilevel"/>
    <w:lvl w:ilvl="0">
      <w:lvlJc w:val="left"/>
      <w:lvlText w:val="(%1)"/>
      <w:numFmt w:val="lowerLetter"/>
      <w:start w:val="9"/>
    </w:lvl>
    <w:lvl w:ilvl="1">
      <w:lvlJc w:val="left"/>
      <w:lvlText w:val="(%2)"/>
      <w:numFmt w:val="lowerLetter"/>
      <w:start w:val="2"/>
    </w:lvl>
  </w:abstractNum>
  <w:abstractNum w:abstractNumId="55">
    <w:nsid w:val="885E1B"/>
    <w:multiLevelType w:val="hybridMultilevel"/>
    <w:lvl w:ilvl="0">
      <w:lvlJc w:val="left"/>
      <w:lvlText w:val="(%1)"/>
      <w:numFmt w:val="lowerLetter"/>
      <w:start w:val="3"/>
    </w:lvl>
  </w:abstractNum>
  <w:abstractNum w:abstractNumId="56">
    <w:nsid w:val="76272110"/>
    <w:multiLevelType w:val="hybridMultilevel"/>
    <w:lvl w:ilvl="0">
      <w:lvlJc w:val="left"/>
      <w:lvlText w:val="(%1)"/>
      <w:numFmt w:val="lowerLetter"/>
      <w:start w:val="1"/>
    </w:lvl>
  </w:abstractNum>
  <w:abstractNum w:abstractNumId="57">
    <w:nsid w:val="4C04A8AF"/>
    <w:multiLevelType w:val="hybridMultilevel"/>
    <w:lvl w:ilvl="0">
      <w:lvlJc w:val="left"/>
      <w:lvlText w:val="(%1)"/>
      <w:numFmt w:val="lowerLetter"/>
      <w:start w:val="61"/>
    </w:lvl>
    <w:lvl w:ilvl="1">
      <w:lvlJc w:val="left"/>
      <w:lvlText w:val="(%2)"/>
      <w:numFmt w:val="lowerLetter"/>
      <w:start w:val="3"/>
    </w:lvl>
  </w:abstractNum>
  <w:abstractNum w:abstractNumId="58">
    <w:nsid w:val="1716703B"/>
    <w:multiLevelType w:val="hybridMultilevel"/>
    <w:lvl w:ilvl="0">
      <w:lvlJc w:val="left"/>
      <w:lvlText w:val="(%1)"/>
      <w:numFmt w:val="lowerLetter"/>
      <w:start w:val="1"/>
    </w:lvl>
  </w:abstractNum>
  <w:abstractNum w:abstractNumId="59">
    <w:nsid w:val="14E17E33"/>
    <w:multiLevelType w:val="hybridMultilevel"/>
    <w:lvl w:ilvl="0">
      <w:lvlJc w:val="left"/>
      <w:lvlText w:val="(%1)"/>
      <w:numFmt w:val="lowerLetter"/>
      <w:start w:val="1"/>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1"/>
    </w:lvl>
  </w:abstractNum>
  <w:abstractNum w:abstractNumId="64">
    <w:nsid w:val="46B7D447"/>
    <w:multiLevelType w:val="hybridMultilevel"/>
    <w:lvl w:ilvl="0">
      <w:lvlJc w:val="left"/>
      <w:lvlText w:val="(%1)"/>
      <w:numFmt w:val="lowerLetter"/>
      <w:start w:val="3"/>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1."/>
      <w:numFmt w:val="decimal"/>
      <w:start w:val="2"/>
    </w:lvl>
    <w:lvl w:ilvl="1">
      <w:lvlJc w:val="left"/>
      <w:lvlText w:val="(%2)"/>
      <w:numFmt w:val="lowerRoman"/>
      <w:start w:val="2"/>
    </w:lvl>
    <w:lvl w:ilvl="2">
      <w:lvlJc w:val="left"/>
      <w:lvlText w:val="%3."/>
      <w:numFmt w:val="lowerLetter"/>
      <w:start w:val="1"/>
    </w:lvl>
  </w:abstractNum>
  <w:abstractNum w:abstractNumId="72">
    <w:nsid w:val="7F0157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73">
    <w:nsid w:val="49DA307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decimal"/>
      <w:start w:val="4"/>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decimal"/>
      <w:start w:val="1"/>
    </w:lvl>
    <w:lvl w:ilvl="1">
      <w:lvlJc w:val="left"/>
      <w:lvlText w:val="(%2)"/>
      <w:numFmt w:val="lowerLetter"/>
      <w:start w:val="1"/>
    </w:lvl>
  </w:abstractNum>
  <w:abstractNum w:abstractNumId="76">
    <w:nsid w:val="50801EE1"/>
    <w:multiLevelType w:val="hybridMultilevel"/>
    <w:lvl w:ilvl="0">
      <w:lvlJc w:val="left"/>
      <w:lvlText w:val="%1"/>
      <w:numFmt w:val="decimal"/>
      <w:start w:val="1"/>
    </w:lvl>
    <w:lvl w:ilvl="1">
      <w:lvlJc w:val="left"/>
      <w:lvlText w:val="(%2)"/>
      <w:numFmt w:val="lowerLetter"/>
      <w:start w:val="4"/>
    </w:lvl>
  </w:abstractNum>
  <w:abstractNum w:abstractNumId="77">
    <w:nsid w:val="488AC1A"/>
    <w:multiLevelType w:val="hybridMultilevel"/>
    <w:lvl w:ilvl="0">
      <w:lvlJc w:val="left"/>
      <w:lvlText w:val="%1."/>
      <w:numFmt w:val="decimal"/>
      <w:start w:val="2"/>
    </w:lvl>
    <w:lvl w:ilvl="1">
      <w:lvlJc w:val="left"/>
      <w:lvlText w:val="(%2)"/>
      <w:numFmt w:val="lowerLetter"/>
      <w:start w:val="1"/>
    </w:lvl>
  </w:abstractNum>
  <w:abstractNum w:abstractNumId="78">
    <w:nsid w:val="5FB8011C"/>
    <w:multiLevelType w:val="hybridMultilevel"/>
    <w:lvl w:ilvl="0">
      <w:lvlJc w:val="left"/>
      <w:lvlText w:val="(%1)"/>
      <w:numFmt w:val="lowerLetter"/>
      <w:start w:val="4"/>
    </w:lvl>
  </w:abstractNum>
  <w:abstractNum w:abstractNumId="79">
    <w:nsid w:val="6AA78F7F"/>
    <w:multiLevelType w:val="hybridMultilevel"/>
    <w:lvl w:ilvl="0">
      <w:lvlJc w:val="left"/>
      <w:lvlText w:val="%1."/>
      <w:numFmt w:val="decimal"/>
      <w:start w:val="3"/>
    </w:lvl>
    <w:lvl w:ilvl="1">
      <w:lvlJc w:val="left"/>
      <w:lvlText w:val="(%2)"/>
      <w:numFmt w:val="lowerLetter"/>
      <w:start w:val="1"/>
    </w:lvl>
  </w:abstractNum>
  <w:abstractNum w:abstractNumId="80">
    <w:nsid w:val="7672BD23"/>
    <w:multiLevelType w:val="hybridMultilevel"/>
    <w:lvl w:ilvl="0">
      <w:lvlJc w:val="left"/>
      <w:lvlText w:val="(%1)"/>
      <w:numFmt w:val="lowerRoman"/>
      <w:start w:val="1"/>
    </w:lvl>
  </w:abstractNum>
  <w:abstractNum w:abstractNumId="81">
    <w:nsid w:val="6FC75AF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82">
    <w:nsid w:val="6A5F7029"/>
    <w:multiLevelType w:val="hybridMultilevel"/>
    <w:lvl w:ilvl="0">
      <w:lvlJc w:val="left"/>
      <w:lvlText w:val="(%1)"/>
      <w:numFmt w:val="lowerRoman"/>
      <w:start w:val="1"/>
    </w:lvl>
  </w:abstractNum>
  <w:abstractNum w:abstractNumId="83">
    <w:nsid w:val="7D5E18F8"/>
    <w:multiLevelType w:val="hybridMultilevel"/>
    <w:lvl w:ilvl="0">
      <w:lvlJc w:val="left"/>
      <w:lvlText w:val="(%1)"/>
      <w:numFmt w:val="lowerLetter"/>
      <w:start w:val="3"/>
    </w:lvl>
    <w:lvl w:ilvl="1">
      <w:lvlJc w:val="left"/>
      <w:lvlText w:val="(%2)"/>
      <w:numFmt w:val="lowerLetter"/>
      <w:start w:val="9"/>
    </w:lvl>
  </w:abstractNum>
  <w:abstractNum w:abstractNumId="84">
    <w:nsid w:val="5F3534A4"/>
    <w:multiLevelType w:val="hybridMultilevel"/>
    <w:lvl w:ilvl="0">
      <w:lvlJc w:val="left"/>
      <w:lvlText w:val="(%1)"/>
      <w:numFmt w:val="lowerRoman"/>
      <w:start w:val="5"/>
    </w:lvl>
  </w:abstractNum>
  <w:abstractNum w:abstractNumId="85">
    <w:nsid w:val="73A1821B"/>
    <w:multiLevelType w:val="hybridMultilevel"/>
    <w:lvl w:ilvl="0">
      <w:lvlJc w:val="left"/>
      <w:lvlText w:val="(%1)"/>
      <w:numFmt w:val="lowerLetter"/>
      <w:start w:val="2"/>
    </w:lvl>
  </w:abstractNum>
  <w:abstractNum w:abstractNumId="86">
    <w:nsid w:val="7DE67713"/>
    <w:multiLevelType w:val="hybridMultilevel"/>
    <w:lvl w:ilvl="0">
      <w:lvlJc w:val="left"/>
      <w:lvlText w:val="(%1)"/>
      <w:numFmt w:val="lowerLetter"/>
      <w:start w:val="4"/>
    </w:lvl>
  </w:abstractNum>
  <w:abstractNum w:abstractNumId="87">
    <w:nsid w:val="555C55B5"/>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5"/>
    </w:lvl>
  </w:abstractNum>
  <w:abstractNum w:abstractNumId="88">
    <w:nsid w:val="3FA62ACA"/>
    <w:multiLevelType w:val="hybridMultilevel"/>
    <w:lvl w:ilvl="0">
      <w:lvlJc w:val="left"/>
      <w:lvlText w:val="%1."/>
      <w:numFmt w:val="decimal"/>
      <w:start w:val="6"/>
    </w:lvl>
  </w:abstractNum>
  <w:abstractNum w:abstractNumId="89">
    <w:nsid w:val="14FCE74E"/>
    <w:multiLevelType w:val="hybridMultilevel"/>
    <w:lvl w:ilvl="0">
      <w:lvlJc w:val="left"/>
      <w:lvlText w:val="%1."/>
      <w:numFmt w:val="decimal"/>
      <w:start w:val="7"/>
    </w:lvl>
  </w:abstractNum>
  <w:abstractNum w:abstractNumId="90">
    <w:nsid w:val="6A3DD3E8"/>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91">
    <w:nsid w:val="71C91298"/>
    <w:multiLevelType w:val="hybridMultilevel"/>
    <w:lvl w:ilvl="0">
      <w:lvlJc w:val="left"/>
      <w:lvlText w:val="(%1)"/>
      <w:numFmt w:val="lowerRoman"/>
      <w:start w:val="9"/>
    </w:lvl>
    <w:lvl w:ilvl="1">
      <w:lvlJc w:val="left"/>
      <w:lvlText w:val="%2"/>
      <w:numFmt w:val="decimal"/>
      <w:start w:val="1"/>
    </w:lvl>
    <w:lvl w:ilvl="2">
      <w:lvlJc w:val="left"/>
      <w:lvlText w:val="(%3)"/>
      <w:numFmt w:val="lowerLetter"/>
      <w:start w:val="2"/>
    </w:lvl>
  </w:abstractNum>
  <w:abstractNum w:abstractNumId="92">
    <w:nsid w:val="9DAF6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93">
    <w:nsid w:val="53299938"/>
    <w:multiLevelType w:val="hybridMultilevel"/>
    <w:lvl w:ilvl="0">
      <w:lvlJc w:val="left"/>
      <w:lvlText w:val="(%1)"/>
      <w:numFmt w:val="lowerLetter"/>
      <w:start w:val="9"/>
    </w:lvl>
    <w:lvl w:ilvl="1">
      <w:lvlJc w:val="left"/>
      <w:lvlText w:val="%2."/>
      <w:numFmt w:val="decimal"/>
      <w:start w:val="9"/>
    </w:lvl>
    <w:lvl w:ilvl="2">
      <w:lvlJc w:val="left"/>
      <w:lvlText w:val="%3"/>
      <w:numFmt w:val="lowerLetter"/>
      <w:start w:val="1"/>
    </w:lvl>
    <w:lvl w:ilvl="3">
      <w:lvlJc w:val="left"/>
      <w:lvlText w:val="(%4)"/>
      <w:numFmt w:val="lowerLetter"/>
      <w:start w:val="9"/>
    </w:lvl>
  </w:abstractNum>
  <w:abstractNum w:abstractNumId="94">
    <w:nsid w:val="1FBFE8E0"/>
    <w:multiLevelType w:val="hybridMultilevel"/>
    <w:lvl w:ilvl="0">
      <w:lvlJc w:val="left"/>
      <w:lvlText w:val="%1"/>
      <w:numFmt w:val="lowerLetter"/>
      <w:start w:val="1"/>
    </w:lvl>
    <w:lvl w:ilvl="1">
      <w:lvlJc w:val="left"/>
      <w:lvlText w:val="(%2)"/>
      <w:numFmt w:val="lowerLetter"/>
      <w:start w:val="2"/>
    </w:lvl>
  </w:abstractNum>
  <w:abstractNum w:abstractNumId="95">
    <w:nsid w:val="5092CA79"/>
    <w:multiLevelType w:val="hybridMultilevel"/>
    <w:lvl w:ilvl="0">
      <w:lvlJc w:val="left"/>
      <w:lvlText w:val="(%1)"/>
      <w:numFmt w:val="lowerLetter"/>
      <w:start w:val="61"/>
    </w:lvl>
    <w:lvl w:ilvl="1">
      <w:lvlJc w:val="left"/>
      <w:lvlText w:val="(%2)"/>
      <w:numFmt w:val="lowerLetter"/>
      <w:start w:val="3"/>
    </w:lvl>
  </w:abstractNum>
  <w:abstractNum w:abstractNumId="96">
    <w:nsid w:val="1D545C4D"/>
    <w:multiLevelType w:val="hybridMultilevel"/>
    <w:lvl w:ilvl="0">
      <w:lvlJc w:val="left"/>
      <w:lvlText w:val="%1."/>
      <w:numFmt w:val="decimal"/>
      <w:start w:val="11"/>
    </w:lvl>
  </w:abstractNum>
  <w:abstractNum w:abstractNumId="97">
    <w:nsid w:val="59ADEA3D"/>
    <w:multiLevelType w:val="hybridMultilevel"/>
    <w:lvl w:ilvl="0">
      <w:lvlJc w:val="left"/>
      <w:lvlText w:val="%1."/>
      <w:numFmt w:val="decimal"/>
      <w:start w:val="12"/>
    </w:lvl>
  </w:abstractNum>
  <w:abstractNum w:abstractNumId="98">
    <w:nsid w:val="288F1A34"/>
    <w:multiLevelType w:val="hybridMultilevel"/>
    <w:lvl w:ilvl="0">
      <w:lvlJc w:val="left"/>
      <w:lvlText w:val="%1."/>
      <w:numFmt w:val="decimal"/>
      <w:start w:val="13"/>
    </w:lvl>
  </w:abstractNum>
  <w:abstractNum w:abstractNumId="99">
    <w:nsid w:val="2A155DBC"/>
    <w:multiLevelType w:val="hybridMultilevel"/>
    <w:lvl w:ilvl="0">
      <w:lvlJc w:val="left"/>
      <w:lvlText w:val="%1."/>
      <w:numFmt w:val="decimal"/>
      <w:start w:val="14"/>
    </w:lvl>
  </w:abstractNum>
  <w:abstractNum w:abstractNumId="100">
    <w:nsid w:val="1D9F6E5F"/>
    <w:multiLevelType w:val="hybridMultilevel"/>
    <w:lvl w:ilvl="0">
      <w:lvlJc w:val="left"/>
      <w:lvlText w:val="%1."/>
      <w:numFmt w:val="decimal"/>
      <w:start w:val="15"/>
    </w:lvl>
  </w:abstractNum>
  <w:abstractNum w:abstractNumId="101">
    <w:nsid w:val="97E1B4E"/>
    <w:multiLevelType w:val="hybridMultilevel"/>
    <w:lvl w:ilvl="0">
      <w:lvlJc w:val="left"/>
      <w:lvlText w:val="%1."/>
      <w:numFmt w:val="decimal"/>
      <w:start w:val="16"/>
    </w:lvl>
  </w:abstractNum>
  <w:abstractNum w:abstractNumId="102">
    <w:nsid w:val="51088277"/>
    <w:multiLevelType w:val="hybridMultilevel"/>
    <w:lvl w:ilvl="0">
      <w:lvlJc w:val="left"/>
      <w:lvlText w:val="%1."/>
      <w:numFmt w:val="decimal"/>
      <w:start w:val="17"/>
    </w:lvl>
  </w:abstractNum>
  <w:abstractNum w:abstractNumId="103">
    <w:nsid w:val="1CA0C5FA"/>
    <w:multiLevelType w:val="hybridMultilevel"/>
    <w:lvl w:ilvl="0">
      <w:lvlJc w:val="left"/>
      <w:lvlText w:val="%1."/>
      <w:numFmt w:val="decimal"/>
      <w:start w:val="18"/>
    </w:lvl>
  </w:abstractNum>
  <w:abstractNum w:abstractNumId="104">
    <w:nsid w:val="53584BCB"/>
    <w:multiLevelType w:val="hybridMultilevel"/>
    <w:lvl w:ilvl="0">
      <w:lvlJc w:val="left"/>
      <w:lvlText w:val="%1."/>
      <w:numFmt w:val="decimal"/>
      <w:start w:val="19"/>
    </w:lvl>
  </w:abstractNum>
  <w:abstractNum w:abstractNumId="105">
    <w:nsid w:val="415E286C"/>
    <w:multiLevelType w:val="hybridMultilevel"/>
    <w:lvl w:ilvl="0">
      <w:lvlJc w:val="left"/>
      <w:lvlText w:val="%1."/>
      <w:numFmt w:val="decimal"/>
      <w:start w:val="20"/>
    </w:lvl>
  </w:abstractNum>
  <w:abstractNum w:abstractNumId="106">
    <w:nsid w:val="7C58FD05"/>
    <w:multiLevelType w:val="hybridMultilevel"/>
    <w:lvl w:ilvl="0">
      <w:lvlJc w:val="left"/>
      <w:lvlText w:val="%1."/>
      <w:numFmt w:val="decimal"/>
      <w:start w:val="21"/>
    </w:lvl>
  </w:abstractNum>
  <w:abstractNum w:abstractNumId="107">
    <w:nsid w:val="23D86AAC"/>
    <w:multiLevelType w:val="hybridMultilevel"/>
    <w:lvl w:ilvl="0">
      <w:lvlJc w:val="left"/>
      <w:lvlText w:val="%1."/>
      <w:numFmt w:val="decimal"/>
      <w:start w:val="22"/>
    </w:lvl>
  </w:abstractNum>
  <w:abstractNum w:abstractNumId="108">
    <w:nsid w:val="45E6D486"/>
    <w:multiLevelType w:val="hybridMultilevel"/>
    <w:lvl w:ilvl="0">
      <w:lvlJc w:val="left"/>
      <w:lvlText w:val="%1."/>
      <w:numFmt w:val="decimal"/>
      <w:start w:val="24"/>
    </w:lvl>
  </w:abstractNum>
  <w:abstractNum w:abstractNumId="109">
    <w:nsid w:val="5C10FE21"/>
    <w:multiLevelType w:val="hybridMultilevel"/>
    <w:lvl w:ilvl="0">
      <w:lvlJc w:val="left"/>
      <w:lvlText w:val="%1."/>
      <w:numFmt w:val="decimal"/>
      <w:start w:val="25"/>
    </w:lvl>
  </w:abstractNum>
  <w:abstractNum w:abstractNumId="110">
    <w:nsid w:val="E7FFA2B"/>
    <w:multiLevelType w:val="hybridMultilevel"/>
    <w:lvl w:ilvl="0">
      <w:lvlJc w:val="left"/>
      <w:lvlText w:val="%1."/>
      <w:numFmt w:val="decimal"/>
      <w:start w:val="26"/>
    </w:lvl>
  </w:abstractNum>
  <w:abstractNum w:abstractNumId="111">
    <w:nsid w:val="3C5991AA"/>
    <w:multiLevelType w:val="hybridMultilevel"/>
    <w:lvl w:ilvl="0">
      <w:lvlJc w:val="left"/>
      <w:lvlText w:val="%1."/>
      <w:numFmt w:val="decimal"/>
      <w:start w:val="27"/>
    </w:lvl>
  </w:abstractNum>
  <w:abstractNum w:abstractNumId="112">
    <w:nsid w:val="4BD8591A"/>
    <w:multiLevelType w:val="hybridMultilevel"/>
    <w:lvl w:ilvl="0">
      <w:lvlJc w:val="left"/>
      <w:lvlText w:val="%1."/>
      <w:numFmt w:val="decimal"/>
      <w:start w:val="28"/>
    </w:lvl>
  </w:abstractNum>
  <w:abstractNum w:abstractNumId="113">
    <w:nsid w:val="78DF6A55"/>
    <w:multiLevelType w:val="hybridMultilevel"/>
    <w:lvl w:ilvl="0">
      <w:lvlJc w:val="left"/>
      <w:lvlText w:val="%1."/>
      <w:numFmt w:val="decimal"/>
      <w:start w:val="29"/>
    </w:lvl>
  </w:abstractNum>
  <w:abstractNum w:abstractNumId="114">
    <w:nsid w:val="39B7AAA2"/>
    <w:multiLevelType w:val="hybridMultilevel"/>
    <w:lvl w:ilvl="0">
      <w:lvlJc w:val="left"/>
      <w:lvlText w:val="%1."/>
      <w:numFmt w:val="decimal"/>
      <w:start w:val="30"/>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jpe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162" Type="http://schemas.openxmlformats.org/officeDocument/2006/relationships/hyperlink" Target="https://www.sec.gov/Archives/edgar/data/1107421/000119312522176544/d251784dex31.htm" TargetMode="External"/><Relationship Id="rId163" Type="http://schemas.openxmlformats.org/officeDocument/2006/relationships/hyperlink" Target="https://www.sec.gov/Archives/edgar/data/1107421/000119312520250711/d420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2023-05-10T06:38:58Z</dcterms:created>
  <dcterms:modified xsi:type="dcterms:W3CDTF">2023-05-10T06:38:58Z</dcterms:modified>
</cp:coreProperties>
</file>