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crt-20260409.htm"/>
      <w:bookmarkStart w:id="1" w:name="kstcrt20260409"/>
      <w:bookmarkEnd w:id="0"/>
      <w:bookmarkEnd w:id="1"/>
      <w:r>
        <w:rPr/>
        <w:t> </w:t>
      </w:r>
    </w:p>
    <w:p>
      <w:pPr>
        <w:pStyle w:val="TextBody"/>
        <w:bidi w:val="0"/>
        <w:jc w:val="righ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April 9,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Alaunos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tbl>
      <w:tblPr>
        <w:tblW w:w="4638" w:type="dxa"/>
        <w:jc w:val="left"/>
        <w:tblInd w:w="0" w:type="dxa"/>
        <w:tblLayout w:type="fixed"/>
        <w:tblCellMar>
          <w:top w:w="28" w:type="dxa"/>
          <w:left w:w="28" w:type="dxa"/>
          <w:bottom w:w="28" w:type="dxa"/>
          <w:right w:w="28" w:type="dxa"/>
        </w:tblCellMar>
      </w:tblPr>
      <w:tblGrid>
        <w:gridCol w:w="2071"/>
        <w:gridCol w:w="108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8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501 E. Las Olas Blvd.,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(346) 355-4099</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120" w:after="283"/>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120" w:after="283"/>
        <w:jc w:val="left"/>
        <w:rPr/>
      </w:pPr>
      <w:r>
        <w:rPr/>
        <w:t> </w:t>
      </w:r>
    </w:p>
    <w:tbl>
      <w:tblPr>
        <w:tblW w:w="7390" w:type="dxa"/>
        <w:jc w:val="left"/>
        <w:tblInd w:w="0" w:type="dxa"/>
        <w:tblLayout w:type="fixed"/>
        <w:tblCellMar>
          <w:top w:w="28" w:type="dxa"/>
          <w:left w:w="28" w:type="dxa"/>
          <w:bottom w:w="28" w:type="dxa"/>
          <w:right w:w="28" w:type="dxa"/>
        </w:tblCellMar>
      </w:tblPr>
      <w:tblGrid>
        <w:gridCol w:w="3601"/>
        <w:gridCol w:w="146"/>
        <w:gridCol w:w="826"/>
        <w:gridCol w:w="146"/>
        <w:gridCol w:w="267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9, 2026, Alaunos Therapeutics, Inc. (the “Company”) received a written notice (the “Notice”) from the Listing Qualifications Department of The Nasdaq Stock Market LLC (“Nasdaq”) informing the Company that it is not in compliance with Nasdaq Listing Rule 5550(b)(1), which requires listed companies to maintain a minimum of $2,500,000 in stockholders’ equity for continued listing on the Nasdaq Capital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Notice states that the Company’s Annual Report on Form 10-K for the fiscal year ended December 31, 2025, reported stockholders’ equity of $2,153,000. As of the date of the Notice, the Company also does not meet the alternative continued listing standards of (i) a market value of listed securities of $35 million or (ii) net income from continuing operations of $500,000 in the most recently completed fiscal year or in two of the last three most recently completed fiscal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Nasdaq’s rules, the Company has 45 calendar days from the date of the Notice (until May 26, 2026) to submit a plan to regain compliance. If the plan is accepted, Nasdaq may grant an extension of up to 180 calendar days from the date of the Notice to evidence compliance with the stockholders’ equity requirement. The Notice further states that Nasdaq will consider factors such as the Company’s ability to sustain 12 months of stockholder’s equity compliance, the Company’s past compliance history, the reasons for the current non-compliance, other corporate events that may occur during the review period, the Company’s overall financial condition, and its public disclosures when evaluating the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intends to submit a compliance plan to Nasdaq within the required 45-day period and is evaluating potential actions to regain compliance. There can be no assurance that the plan will be accepted or that the Company will be able to regain compliance within any extension period granted by Nasdaq.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the Company’s plan is not accepted, or that the plan is granted by the staff at Nasdaq but the Company is unable to regain compliance, the Company would have the right to request a hearing before an independent Nasdaq hearings panel. The request for a hearing would result in a stay of any suspension or delisting action pending the conclusion of the hearing process.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Nasdaq rules, the Company will submit this Form 8-K to Nasdaq’s MarketWatch Department. Trading in the Company’s securities is expected to continue as a result of this disclosure, provided the announcement is made within the required timeframe.</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73" w:type="dxa"/>
        <w:jc w:val="left"/>
        <w:tblInd w:w="0" w:type="dxa"/>
        <w:tblLayout w:type="fixed"/>
        <w:tblCellMar>
          <w:top w:w="28" w:type="dxa"/>
          <w:left w:w="28" w:type="dxa"/>
          <w:bottom w:w="28" w:type="dxa"/>
          <w:right w:w="28" w:type="dxa"/>
        </w:tblCellMar>
      </w:tblPr>
      <w:tblGrid>
        <w:gridCol w:w="197"/>
        <w:gridCol w:w="178"/>
        <w:gridCol w:w="180"/>
        <w:gridCol w:w="429"/>
        <w:gridCol w:w="429"/>
        <w:gridCol w:w="431"/>
        <w:gridCol w:w="380"/>
        <w:gridCol w:w="380"/>
        <w:gridCol w:w="480"/>
        <w:gridCol w:w="480"/>
        <w:gridCol w:w="480"/>
        <w:gridCol w:w="629"/>
      </w:tblGrid>
      <w:tr>
        <w:trPr/>
        <w:tc>
          <w:tcPr>
            <w:tcW w:w="1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6"/>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15, 2026</w:t>
            </w:r>
          </w:p>
        </w:tc>
        <w:tc>
          <w:tcPr>
            <w:tcW w:w="7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06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69" w:type="dxa"/>
            <w:gridSpan w:val="4"/>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6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4205</Characters>
  <CharactersWithSpaces>4989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